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947B" w14:textId="5FED60A4" w:rsidR="00973942" w:rsidRPr="00AC0B61" w:rsidRDefault="00973942" w:rsidP="00973942">
      <w:pPr>
        <w:rPr>
          <w:rFonts w:cs="Arial"/>
        </w:rPr>
      </w:pPr>
      <w:r w:rsidRPr="00AC0B61">
        <w:rPr>
          <w:rFonts w:cs="Arial"/>
        </w:rPr>
        <w:t xml:space="preserve">                          </w:t>
      </w:r>
    </w:p>
    <w:p w14:paraId="7483A7CA" w14:textId="77A210A5" w:rsidR="000152FC" w:rsidRPr="00AC0B61" w:rsidRDefault="000152FC" w:rsidP="008C2068">
      <w:pPr>
        <w:jc w:val="center"/>
        <w:rPr>
          <w:rFonts w:cs="Arial"/>
          <w:b/>
          <w:sz w:val="44"/>
          <w:szCs w:val="44"/>
        </w:rPr>
      </w:pPr>
      <w:r>
        <w:rPr>
          <w:rFonts w:cs="Arial"/>
          <w:noProof/>
          <w:sz w:val="40"/>
          <w:szCs w:val="40"/>
        </w:rPr>
        <w:drawing>
          <wp:anchor distT="0" distB="0" distL="114300" distR="114300" simplePos="0" relativeHeight="251659264" behindDoc="0" locked="0" layoutInCell="1" allowOverlap="1" wp14:anchorId="1F657BAF" wp14:editId="1D025A6C">
            <wp:simplePos x="0" y="0"/>
            <wp:positionH relativeFrom="margin">
              <wp:posOffset>1515745</wp:posOffset>
            </wp:positionH>
            <wp:positionV relativeFrom="paragraph">
              <wp:posOffset>277495</wp:posOffset>
            </wp:positionV>
            <wp:extent cx="2480945" cy="1485900"/>
            <wp:effectExtent l="0" t="0" r="0" b="0"/>
            <wp:wrapThrough wrapText="bothSides">
              <wp:wrapPolygon edited="0">
                <wp:start x="0" y="0"/>
                <wp:lineTo x="0" y="21323"/>
                <wp:lineTo x="21395" y="21323"/>
                <wp:lineTo x="2139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2480945" cy="1485900"/>
                    </a:xfrm>
                    <a:prstGeom prst="rect">
                      <a:avLst/>
                    </a:prstGeom>
                  </pic:spPr>
                </pic:pic>
              </a:graphicData>
            </a:graphic>
            <wp14:sizeRelH relativeFrom="page">
              <wp14:pctWidth>0</wp14:pctWidth>
            </wp14:sizeRelH>
            <wp14:sizeRelV relativeFrom="page">
              <wp14:pctHeight>0</wp14:pctHeight>
            </wp14:sizeRelV>
          </wp:anchor>
        </w:drawing>
      </w:r>
    </w:p>
    <w:p w14:paraId="2A4A18B1" w14:textId="77777777" w:rsidR="000152FC" w:rsidRPr="00AC0B61" w:rsidRDefault="000152FC" w:rsidP="008C2068">
      <w:pPr>
        <w:jc w:val="center"/>
        <w:rPr>
          <w:rFonts w:cs="Arial"/>
          <w:b/>
          <w:sz w:val="44"/>
          <w:szCs w:val="44"/>
        </w:rPr>
      </w:pPr>
    </w:p>
    <w:p w14:paraId="1710F34E" w14:textId="77777777" w:rsidR="000152FC" w:rsidRPr="00AC0B61" w:rsidRDefault="000152FC" w:rsidP="008C2068">
      <w:pPr>
        <w:jc w:val="center"/>
        <w:rPr>
          <w:rFonts w:cs="Arial"/>
          <w:b/>
          <w:sz w:val="44"/>
          <w:szCs w:val="44"/>
        </w:rPr>
      </w:pPr>
    </w:p>
    <w:p w14:paraId="7DC906BB" w14:textId="77777777" w:rsidR="000152FC" w:rsidRPr="00AC0B61" w:rsidRDefault="000152FC" w:rsidP="008C2068">
      <w:pPr>
        <w:jc w:val="center"/>
        <w:rPr>
          <w:rFonts w:cs="Arial"/>
          <w:b/>
          <w:sz w:val="44"/>
          <w:szCs w:val="44"/>
        </w:rPr>
      </w:pPr>
    </w:p>
    <w:p w14:paraId="3762F45D" w14:textId="77777777" w:rsidR="000152FC" w:rsidRPr="00AC0B61" w:rsidRDefault="000152FC" w:rsidP="008C2068">
      <w:pPr>
        <w:jc w:val="center"/>
        <w:rPr>
          <w:rFonts w:cs="Arial"/>
          <w:b/>
          <w:sz w:val="44"/>
          <w:szCs w:val="44"/>
        </w:rPr>
      </w:pPr>
    </w:p>
    <w:p w14:paraId="049F83E5" w14:textId="77777777" w:rsidR="000152FC" w:rsidRPr="00AC0B61" w:rsidRDefault="000152FC" w:rsidP="008C2068">
      <w:pPr>
        <w:jc w:val="center"/>
        <w:rPr>
          <w:rFonts w:cs="Arial"/>
          <w:b/>
          <w:sz w:val="44"/>
          <w:szCs w:val="44"/>
        </w:rPr>
      </w:pPr>
    </w:p>
    <w:p w14:paraId="19239126" w14:textId="77777777" w:rsidR="000152FC" w:rsidRPr="00AC0B61" w:rsidRDefault="000152FC" w:rsidP="008C2068">
      <w:pPr>
        <w:jc w:val="center"/>
        <w:rPr>
          <w:rFonts w:cs="Arial"/>
          <w:b/>
          <w:sz w:val="44"/>
          <w:szCs w:val="44"/>
        </w:rPr>
      </w:pPr>
    </w:p>
    <w:p w14:paraId="2182DF45" w14:textId="71F43DBA" w:rsidR="00973942" w:rsidRPr="0049297C" w:rsidRDefault="00D02DB8" w:rsidP="008C2068">
      <w:pPr>
        <w:jc w:val="center"/>
        <w:rPr>
          <w:rFonts w:cs="Arial"/>
          <w:b/>
          <w:color w:val="404040" w:themeColor="text1" w:themeTint="BF"/>
          <w:sz w:val="44"/>
          <w:szCs w:val="44"/>
        </w:rPr>
      </w:pPr>
      <w:r w:rsidRPr="0049297C">
        <w:rPr>
          <w:rFonts w:cs="Arial"/>
          <w:b/>
          <w:color w:val="404040" w:themeColor="text1" w:themeTint="BF"/>
          <w:sz w:val="44"/>
          <w:szCs w:val="44"/>
        </w:rPr>
        <w:t xml:space="preserve">Corporate </w:t>
      </w:r>
      <w:r w:rsidR="00973942" w:rsidRPr="0049297C">
        <w:rPr>
          <w:rFonts w:cs="Arial"/>
          <w:b/>
          <w:color w:val="404040" w:themeColor="text1" w:themeTint="BF"/>
          <w:sz w:val="44"/>
          <w:szCs w:val="44"/>
        </w:rPr>
        <w:t xml:space="preserve">Carbon Footprint </w:t>
      </w:r>
      <w:r w:rsidR="00C52291" w:rsidRPr="0049297C">
        <w:rPr>
          <w:rFonts w:cs="Arial"/>
          <w:b/>
          <w:color w:val="404040" w:themeColor="text1" w:themeTint="BF"/>
          <w:sz w:val="44"/>
          <w:szCs w:val="44"/>
        </w:rPr>
        <w:t>Bericht</w:t>
      </w:r>
    </w:p>
    <w:p w14:paraId="41F10194" w14:textId="30A16578" w:rsidR="000152FC" w:rsidRPr="0049297C" w:rsidRDefault="000152FC" w:rsidP="008C2068">
      <w:pPr>
        <w:jc w:val="center"/>
        <w:rPr>
          <w:rFonts w:cs="Arial"/>
          <w:b/>
          <w:color w:val="404040" w:themeColor="text1" w:themeTint="BF"/>
          <w:sz w:val="44"/>
          <w:szCs w:val="44"/>
        </w:rPr>
      </w:pPr>
      <w:r w:rsidRPr="0049297C">
        <w:rPr>
          <w:rFonts w:cs="Arial"/>
          <w:b/>
          <w:color w:val="404040" w:themeColor="text1" w:themeTint="BF"/>
          <w:sz w:val="44"/>
          <w:szCs w:val="44"/>
        </w:rPr>
        <w:t>für das Jahr 202</w:t>
      </w:r>
      <w:r w:rsidR="00FD6021" w:rsidRPr="0049297C">
        <w:rPr>
          <w:rFonts w:cs="Arial"/>
          <w:b/>
          <w:color w:val="404040" w:themeColor="text1" w:themeTint="BF"/>
          <w:sz w:val="44"/>
          <w:szCs w:val="44"/>
        </w:rPr>
        <w:t>3</w:t>
      </w:r>
    </w:p>
    <w:p w14:paraId="34BC1078" w14:textId="77777777" w:rsidR="00973942" w:rsidRPr="00AC0B61" w:rsidRDefault="00973942" w:rsidP="00973942">
      <w:pPr>
        <w:rPr>
          <w:rFonts w:cs="Arial"/>
        </w:rPr>
      </w:pPr>
      <w:r w:rsidRPr="00AC0B61">
        <w:rPr>
          <w:rFonts w:cs="Arial"/>
        </w:rPr>
        <w:t xml:space="preserve">                               </w:t>
      </w:r>
    </w:p>
    <w:p w14:paraId="2DD09121" w14:textId="4C249A34" w:rsidR="00973942" w:rsidRPr="00AC0B61" w:rsidRDefault="00973942" w:rsidP="00973942">
      <w:pPr>
        <w:rPr>
          <w:rFonts w:cs="Arial"/>
        </w:rPr>
      </w:pPr>
    </w:p>
    <w:p w14:paraId="355C680B" w14:textId="41EBD547" w:rsidR="00973942" w:rsidRPr="00AC0B61" w:rsidRDefault="00973942" w:rsidP="00973942">
      <w:pPr>
        <w:rPr>
          <w:rFonts w:cs="Arial"/>
        </w:rPr>
      </w:pPr>
    </w:p>
    <w:p w14:paraId="35104BA8" w14:textId="31678B60" w:rsidR="00973942" w:rsidRPr="00AC0B61" w:rsidRDefault="00973942" w:rsidP="00973942">
      <w:pPr>
        <w:rPr>
          <w:rFonts w:cs="Arial"/>
          <w:sz w:val="40"/>
          <w:szCs w:val="40"/>
        </w:rPr>
      </w:pPr>
    </w:p>
    <w:p w14:paraId="3D349075" w14:textId="0BB58D27" w:rsidR="00BA77E6" w:rsidRPr="0049297C" w:rsidRDefault="00BA77E6" w:rsidP="00973942">
      <w:pPr>
        <w:jc w:val="center"/>
        <w:rPr>
          <w:rFonts w:cs="Arial"/>
          <w:b/>
          <w:color w:val="404040" w:themeColor="text1" w:themeTint="BF"/>
          <w:sz w:val="36"/>
          <w:szCs w:val="36"/>
        </w:rPr>
      </w:pPr>
      <w:r w:rsidRPr="0049297C">
        <w:rPr>
          <w:rFonts w:cs="Arial"/>
          <w:b/>
          <w:color w:val="404040" w:themeColor="text1" w:themeTint="BF"/>
          <w:sz w:val="36"/>
          <w:szCs w:val="36"/>
        </w:rPr>
        <w:t>KDE Transport GmbH (KDE)</w:t>
      </w:r>
    </w:p>
    <w:p w14:paraId="2A664BCD" w14:textId="2B730966" w:rsidR="00BA77E6" w:rsidRPr="0049297C" w:rsidRDefault="00BA77E6" w:rsidP="00973942">
      <w:pPr>
        <w:jc w:val="center"/>
        <w:rPr>
          <w:rFonts w:cs="Arial"/>
          <w:b/>
          <w:color w:val="404040" w:themeColor="text1" w:themeTint="BF"/>
          <w:sz w:val="36"/>
          <w:szCs w:val="36"/>
        </w:rPr>
      </w:pPr>
      <w:r w:rsidRPr="0049297C">
        <w:rPr>
          <w:rFonts w:cs="Arial"/>
          <w:b/>
          <w:color w:val="404040" w:themeColor="text1" w:themeTint="BF"/>
          <w:sz w:val="36"/>
          <w:szCs w:val="36"/>
        </w:rPr>
        <w:t>Willi-Grasser-Str. 18</w:t>
      </w:r>
    </w:p>
    <w:p w14:paraId="66BE9AA7" w14:textId="6C1E24D4" w:rsidR="00BA77E6" w:rsidRPr="0049297C" w:rsidRDefault="00BA77E6" w:rsidP="00973942">
      <w:pPr>
        <w:jc w:val="center"/>
        <w:rPr>
          <w:rFonts w:cs="Arial"/>
          <w:b/>
          <w:color w:val="404040" w:themeColor="text1" w:themeTint="BF"/>
          <w:sz w:val="36"/>
          <w:szCs w:val="36"/>
        </w:rPr>
      </w:pPr>
      <w:r w:rsidRPr="0049297C">
        <w:rPr>
          <w:rFonts w:cs="Arial"/>
          <w:b/>
          <w:color w:val="404040" w:themeColor="text1" w:themeTint="BF"/>
          <w:sz w:val="36"/>
          <w:szCs w:val="36"/>
        </w:rPr>
        <w:t>91056 Erlangen</w:t>
      </w:r>
    </w:p>
    <w:p w14:paraId="62CBBC41" w14:textId="4B9B827A" w:rsidR="00BA77E6" w:rsidRPr="0049297C" w:rsidRDefault="00BA77E6" w:rsidP="00973942">
      <w:pPr>
        <w:jc w:val="center"/>
        <w:rPr>
          <w:rFonts w:cs="Arial"/>
          <w:b/>
          <w:color w:val="404040" w:themeColor="text1" w:themeTint="BF"/>
          <w:sz w:val="36"/>
          <w:szCs w:val="36"/>
        </w:rPr>
      </w:pPr>
    </w:p>
    <w:p w14:paraId="428E32DD" w14:textId="61818059" w:rsidR="000152FC" w:rsidRPr="0049297C" w:rsidRDefault="000152FC" w:rsidP="00BA77E6">
      <w:pPr>
        <w:jc w:val="center"/>
        <w:rPr>
          <w:rFonts w:cs="Arial"/>
          <w:b/>
          <w:color w:val="404040" w:themeColor="text1" w:themeTint="BF"/>
          <w:sz w:val="36"/>
          <w:szCs w:val="36"/>
        </w:rPr>
      </w:pPr>
    </w:p>
    <w:p w14:paraId="1032EBB6" w14:textId="74B89D7F" w:rsidR="00973942" w:rsidRPr="0049297C" w:rsidRDefault="00FD6021" w:rsidP="00BA77E6">
      <w:pPr>
        <w:jc w:val="center"/>
        <w:rPr>
          <w:rFonts w:cs="Arial"/>
          <w:color w:val="404040" w:themeColor="text1" w:themeTint="BF"/>
        </w:rPr>
      </w:pPr>
      <w:r w:rsidRPr="0049297C">
        <w:rPr>
          <w:rFonts w:cs="Arial"/>
          <w:b/>
          <w:color w:val="404040" w:themeColor="text1" w:themeTint="BF"/>
          <w:sz w:val="36"/>
          <w:szCs w:val="36"/>
        </w:rPr>
        <w:t>11</w:t>
      </w:r>
      <w:r w:rsidR="00BA77E6" w:rsidRPr="0049297C">
        <w:rPr>
          <w:rFonts w:cs="Arial"/>
          <w:b/>
          <w:color w:val="404040" w:themeColor="text1" w:themeTint="BF"/>
          <w:sz w:val="36"/>
          <w:szCs w:val="36"/>
        </w:rPr>
        <w:t>.05.202</w:t>
      </w:r>
      <w:r w:rsidRPr="0049297C">
        <w:rPr>
          <w:rFonts w:cs="Arial"/>
          <w:b/>
          <w:color w:val="404040" w:themeColor="text1" w:themeTint="BF"/>
          <w:sz w:val="36"/>
          <w:szCs w:val="36"/>
        </w:rPr>
        <w:t>3</w:t>
      </w:r>
    </w:p>
    <w:p w14:paraId="6AF845E2" w14:textId="0ACB62B6" w:rsidR="00422926" w:rsidRPr="0049297C" w:rsidRDefault="00422926" w:rsidP="00973942">
      <w:pPr>
        <w:jc w:val="center"/>
        <w:rPr>
          <w:rFonts w:cs="Arial"/>
          <w:b/>
          <w:color w:val="404040" w:themeColor="text1" w:themeTint="BF"/>
        </w:rPr>
      </w:pPr>
    </w:p>
    <w:p w14:paraId="155236DA" w14:textId="01372E25" w:rsidR="006D45DE" w:rsidRPr="0049297C" w:rsidRDefault="006D45DE" w:rsidP="00973942">
      <w:pPr>
        <w:jc w:val="center"/>
        <w:rPr>
          <w:rFonts w:cs="Arial"/>
          <w:b/>
          <w:color w:val="404040" w:themeColor="text1" w:themeTint="BF"/>
        </w:rPr>
      </w:pPr>
    </w:p>
    <w:p w14:paraId="7275A7D5" w14:textId="19947E0F" w:rsidR="006D45DE" w:rsidRPr="0049297C" w:rsidRDefault="006D45DE" w:rsidP="00973942">
      <w:pPr>
        <w:jc w:val="center"/>
        <w:rPr>
          <w:rFonts w:cs="Arial"/>
          <w:b/>
          <w:color w:val="404040" w:themeColor="text1" w:themeTint="BF"/>
        </w:rPr>
      </w:pPr>
    </w:p>
    <w:p w14:paraId="79CE4920" w14:textId="4C16795A" w:rsidR="006D45DE" w:rsidRPr="0049297C" w:rsidRDefault="006D45DE" w:rsidP="00973942">
      <w:pPr>
        <w:jc w:val="center"/>
        <w:rPr>
          <w:rFonts w:cs="Arial"/>
          <w:b/>
          <w:color w:val="404040" w:themeColor="text1" w:themeTint="BF"/>
        </w:rPr>
      </w:pPr>
    </w:p>
    <w:p w14:paraId="79D8535F" w14:textId="77777777" w:rsidR="006D45DE" w:rsidRPr="0049297C" w:rsidRDefault="006D45DE" w:rsidP="00973942">
      <w:pPr>
        <w:jc w:val="center"/>
        <w:rPr>
          <w:rFonts w:cs="Arial"/>
          <w:b/>
          <w:color w:val="404040" w:themeColor="text1" w:themeTint="BF"/>
        </w:rPr>
      </w:pPr>
    </w:p>
    <w:p w14:paraId="7B03625D" w14:textId="6F9C5474" w:rsidR="006D45DE" w:rsidRPr="0049297C" w:rsidRDefault="006D45DE" w:rsidP="00973942">
      <w:pPr>
        <w:jc w:val="center"/>
        <w:rPr>
          <w:rFonts w:cs="Arial"/>
          <w:b/>
          <w:color w:val="404040" w:themeColor="text1" w:themeTint="BF"/>
        </w:rPr>
      </w:pPr>
    </w:p>
    <w:p w14:paraId="4BE1778E" w14:textId="2EF02022" w:rsidR="006D45DE" w:rsidRPr="0049297C" w:rsidRDefault="006D45DE" w:rsidP="00973942">
      <w:pPr>
        <w:jc w:val="center"/>
        <w:rPr>
          <w:rFonts w:cs="Arial"/>
          <w:b/>
          <w:color w:val="404040" w:themeColor="text1" w:themeTint="BF"/>
        </w:rPr>
      </w:pPr>
    </w:p>
    <w:p w14:paraId="59E5CC49" w14:textId="516E1B76" w:rsidR="006D45DE" w:rsidRPr="0049297C" w:rsidRDefault="006D45DE" w:rsidP="00973942">
      <w:pPr>
        <w:jc w:val="center"/>
        <w:rPr>
          <w:rFonts w:cs="Arial"/>
          <w:b/>
          <w:color w:val="404040" w:themeColor="text1" w:themeTint="BF"/>
        </w:rPr>
      </w:pPr>
    </w:p>
    <w:p w14:paraId="5FDAED8D" w14:textId="16442C4F" w:rsidR="006D45DE" w:rsidRPr="0049297C" w:rsidRDefault="006D45DE" w:rsidP="00973942">
      <w:pPr>
        <w:jc w:val="center"/>
        <w:rPr>
          <w:rFonts w:cs="Arial"/>
          <w:b/>
          <w:color w:val="404040" w:themeColor="text1" w:themeTint="BF"/>
        </w:rPr>
      </w:pPr>
    </w:p>
    <w:p w14:paraId="26B481FA" w14:textId="4D4A672C" w:rsidR="006D45DE" w:rsidRPr="0049297C" w:rsidRDefault="006D45DE" w:rsidP="00973942">
      <w:pPr>
        <w:jc w:val="center"/>
        <w:rPr>
          <w:rFonts w:cs="Arial"/>
          <w:b/>
          <w:color w:val="404040" w:themeColor="text1" w:themeTint="BF"/>
        </w:rPr>
      </w:pPr>
    </w:p>
    <w:p w14:paraId="75EB275D" w14:textId="1950DDA6" w:rsidR="006D45DE" w:rsidRPr="0049297C" w:rsidRDefault="006D45DE" w:rsidP="00973942">
      <w:pPr>
        <w:jc w:val="center"/>
        <w:rPr>
          <w:rFonts w:cs="Arial"/>
          <w:b/>
          <w:color w:val="404040" w:themeColor="text1" w:themeTint="BF"/>
        </w:rPr>
      </w:pPr>
    </w:p>
    <w:p w14:paraId="595208EE" w14:textId="4CDA0B18" w:rsidR="006D45DE" w:rsidRPr="0049297C" w:rsidRDefault="006D45DE" w:rsidP="006D45DE">
      <w:pPr>
        <w:jc w:val="left"/>
        <w:rPr>
          <w:rFonts w:cs="Arial"/>
          <w:b/>
          <w:color w:val="404040" w:themeColor="text1" w:themeTint="BF"/>
        </w:rPr>
      </w:pPr>
      <w:r w:rsidRPr="0049297C">
        <w:rPr>
          <w:rFonts w:cs="Arial"/>
          <w:b/>
          <w:color w:val="404040" w:themeColor="text1" w:themeTint="BF"/>
        </w:rPr>
        <w:t>Bericht erstellt durch:</w:t>
      </w:r>
    </w:p>
    <w:p w14:paraId="10594C8A" w14:textId="67DCCB02" w:rsidR="006D45DE" w:rsidRPr="0049297C" w:rsidRDefault="006D45DE" w:rsidP="006D45DE">
      <w:pPr>
        <w:jc w:val="left"/>
        <w:rPr>
          <w:rFonts w:cs="Arial"/>
          <w:b/>
          <w:color w:val="404040" w:themeColor="text1" w:themeTint="BF"/>
        </w:rPr>
      </w:pPr>
    </w:p>
    <w:p w14:paraId="6A1F4CAD" w14:textId="09AE7B53" w:rsidR="006D45DE" w:rsidRPr="0049297C" w:rsidRDefault="00BA77E6" w:rsidP="006D45DE">
      <w:pPr>
        <w:jc w:val="left"/>
        <w:rPr>
          <w:rFonts w:cs="Arial"/>
          <w:b/>
          <w:color w:val="404040" w:themeColor="text1" w:themeTint="BF"/>
        </w:rPr>
      </w:pPr>
      <w:r w:rsidRPr="0049297C">
        <w:rPr>
          <w:rFonts w:cs="Arial"/>
          <w:b/>
          <w:color w:val="404040" w:themeColor="text1" w:themeTint="BF"/>
        </w:rPr>
        <w:t>Barbara von Alvensleben</w:t>
      </w:r>
    </w:p>
    <w:p w14:paraId="7D595995" w14:textId="33D21869" w:rsidR="006D45DE" w:rsidRPr="00BA77E6" w:rsidRDefault="00BA77E6" w:rsidP="006D45DE">
      <w:pPr>
        <w:jc w:val="left"/>
        <w:rPr>
          <w:rFonts w:cs="Arial"/>
          <w:b/>
          <w:color w:val="auto"/>
        </w:rPr>
        <w:sectPr w:rsidR="006D45DE" w:rsidRPr="00BA77E6" w:rsidSect="000152FC">
          <w:headerReference w:type="default" r:id="rId12"/>
          <w:footerReference w:type="default" r:id="rId13"/>
          <w:pgSz w:w="11899" w:h="16838"/>
          <w:pgMar w:top="1440" w:right="1800" w:bottom="1440" w:left="1843" w:header="708" w:footer="708" w:gutter="0"/>
          <w:cols w:space="708"/>
          <w:titlePg/>
          <w:docGrid w:linePitch="299"/>
        </w:sectPr>
      </w:pPr>
      <w:r w:rsidRPr="0049297C">
        <w:rPr>
          <w:rFonts w:cs="Arial"/>
          <w:b/>
          <w:color w:val="404040" w:themeColor="text1" w:themeTint="BF"/>
        </w:rPr>
        <w:t>Barbara.vonalvensleben@kde-kurier.de</w:t>
      </w:r>
    </w:p>
    <w:p w14:paraId="133DFFFE" w14:textId="7CCD4C62" w:rsidR="00973942" w:rsidRPr="00F83D77" w:rsidRDefault="008C2068" w:rsidP="00973942">
      <w:pPr>
        <w:jc w:val="center"/>
        <w:rPr>
          <w:rFonts w:cs="Arial"/>
          <w:b/>
          <w:sz w:val="24"/>
          <w:szCs w:val="24"/>
        </w:rPr>
      </w:pPr>
      <w:r w:rsidRPr="00F83D77">
        <w:rPr>
          <w:rFonts w:cs="Arial"/>
          <w:b/>
          <w:sz w:val="24"/>
          <w:szCs w:val="24"/>
        </w:rPr>
        <w:lastRenderedPageBreak/>
        <w:t>Inhaltsverzeichnis</w:t>
      </w:r>
    </w:p>
    <w:p w14:paraId="519DD9B9" w14:textId="77777777" w:rsidR="00422926" w:rsidRPr="00F83D77" w:rsidRDefault="00422926" w:rsidP="00973942">
      <w:pPr>
        <w:jc w:val="center"/>
        <w:rPr>
          <w:rFonts w:cs="Arial"/>
        </w:rPr>
      </w:pPr>
    </w:p>
    <w:p w14:paraId="56AC8463" w14:textId="73C11CE1" w:rsidR="00384860" w:rsidRDefault="000A001E">
      <w:pPr>
        <w:pStyle w:val="Verzeichnis1"/>
        <w:rPr>
          <w:rFonts w:eastAsiaTheme="minorEastAsia" w:cstheme="minorBidi"/>
          <w:b w:val="0"/>
          <w:noProof/>
          <w:color w:val="auto"/>
          <w:sz w:val="22"/>
        </w:rPr>
      </w:pPr>
      <w:r w:rsidRPr="009A0314">
        <w:fldChar w:fldCharType="begin"/>
      </w:r>
      <w:r w:rsidRPr="009A0314">
        <w:instrText xml:space="preserve"> TOC \o "1-3"  \* MERGEFORMAT </w:instrText>
      </w:r>
      <w:r w:rsidRPr="009A0314">
        <w:fldChar w:fldCharType="separate"/>
      </w:r>
      <w:r w:rsidR="00384860" w:rsidRPr="00B91380">
        <w:rPr>
          <w:rFonts w:cs="Arial"/>
          <w:noProof/>
          <w:color w:val="auto"/>
        </w:rPr>
        <w:t>Teil I: Grundlegende Informationen</w:t>
      </w:r>
      <w:r w:rsidR="00384860">
        <w:rPr>
          <w:noProof/>
        </w:rPr>
        <w:tab/>
      </w:r>
      <w:r w:rsidR="00384860">
        <w:rPr>
          <w:noProof/>
        </w:rPr>
        <w:fldChar w:fldCharType="begin"/>
      </w:r>
      <w:r w:rsidR="00384860">
        <w:rPr>
          <w:noProof/>
        </w:rPr>
        <w:instrText xml:space="preserve"> PAGEREF _Toc135811100 \h </w:instrText>
      </w:r>
      <w:r w:rsidR="00384860">
        <w:rPr>
          <w:noProof/>
        </w:rPr>
      </w:r>
      <w:r w:rsidR="00384860">
        <w:rPr>
          <w:noProof/>
        </w:rPr>
        <w:fldChar w:fldCharType="separate"/>
      </w:r>
      <w:r w:rsidR="004C77B6">
        <w:rPr>
          <w:noProof/>
        </w:rPr>
        <w:t>3</w:t>
      </w:r>
      <w:r w:rsidR="00384860">
        <w:rPr>
          <w:noProof/>
        </w:rPr>
        <w:fldChar w:fldCharType="end"/>
      </w:r>
    </w:p>
    <w:p w14:paraId="335FA2D5" w14:textId="43399F50" w:rsidR="00384860" w:rsidRDefault="00384860">
      <w:pPr>
        <w:pStyle w:val="Verzeichnis1"/>
        <w:rPr>
          <w:rFonts w:eastAsiaTheme="minorEastAsia" w:cstheme="minorBidi"/>
          <w:b w:val="0"/>
          <w:noProof/>
          <w:color w:val="auto"/>
          <w:sz w:val="22"/>
        </w:rPr>
      </w:pPr>
      <w:r>
        <w:rPr>
          <w:noProof/>
        </w:rPr>
        <w:t>1</w:t>
      </w:r>
      <w:r>
        <w:rPr>
          <w:rFonts w:eastAsiaTheme="minorEastAsia" w:cstheme="minorBidi"/>
          <w:b w:val="0"/>
          <w:noProof/>
          <w:color w:val="auto"/>
          <w:sz w:val="22"/>
        </w:rPr>
        <w:tab/>
      </w:r>
      <w:r>
        <w:rPr>
          <w:noProof/>
        </w:rPr>
        <w:t>Einleitung</w:t>
      </w:r>
      <w:r>
        <w:rPr>
          <w:noProof/>
        </w:rPr>
        <w:tab/>
      </w:r>
      <w:r>
        <w:rPr>
          <w:noProof/>
        </w:rPr>
        <w:fldChar w:fldCharType="begin"/>
      </w:r>
      <w:r>
        <w:rPr>
          <w:noProof/>
        </w:rPr>
        <w:instrText xml:space="preserve"> PAGEREF _Toc135811101 \h </w:instrText>
      </w:r>
      <w:r>
        <w:rPr>
          <w:noProof/>
        </w:rPr>
      </w:r>
      <w:r>
        <w:rPr>
          <w:noProof/>
        </w:rPr>
        <w:fldChar w:fldCharType="separate"/>
      </w:r>
      <w:r w:rsidR="004C77B6">
        <w:rPr>
          <w:noProof/>
        </w:rPr>
        <w:t>3</w:t>
      </w:r>
      <w:r>
        <w:rPr>
          <w:noProof/>
        </w:rPr>
        <w:fldChar w:fldCharType="end"/>
      </w:r>
    </w:p>
    <w:p w14:paraId="76F68930" w14:textId="18B94C26" w:rsidR="00384860" w:rsidRDefault="00384860">
      <w:pPr>
        <w:pStyle w:val="Verzeichnis1"/>
        <w:rPr>
          <w:rFonts w:eastAsiaTheme="minorEastAsia" w:cstheme="minorBidi"/>
          <w:b w:val="0"/>
          <w:noProof/>
          <w:color w:val="auto"/>
          <w:sz w:val="22"/>
        </w:rPr>
      </w:pPr>
      <w:r>
        <w:rPr>
          <w:noProof/>
        </w:rPr>
        <w:t>2</w:t>
      </w:r>
      <w:r>
        <w:rPr>
          <w:rFonts w:eastAsiaTheme="minorEastAsia" w:cstheme="minorBidi"/>
          <w:b w:val="0"/>
          <w:noProof/>
          <w:color w:val="auto"/>
          <w:sz w:val="22"/>
        </w:rPr>
        <w:tab/>
      </w:r>
      <w:r>
        <w:rPr>
          <w:noProof/>
        </w:rPr>
        <w:t>Über KDE</w:t>
      </w:r>
      <w:r>
        <w:rPr>
          <w:noProof/>
        </w:rPr>
        <w:tab/>
      </w:r>
      <w:r>
        <w:rPr>
          <w:noProof/>
        </w:rPr>
        <w:fldChar w:fldCharType="begin"/>
      </w:r>
      <w:r>
        <w:rPr>
          <w:noProof/>
        </w:rPr>
        <w:instrText xml:space="preserve"> PAGEREF _Toc135811102 \h </w:instrText>
      </w:r>
      <w:r>
        <w:rPr>
          <w:noProof/>
        </w:rPr>
      </w:r>
      <w:r>
        <w:rPr>
          <w:noProof/>
        </w:rPr>
        <w:fldChar w:fldCharType="separate"/>
      </w:r>
      <w:r w:rsidR="004C77B6">
        <w:rPr>
          <w:noProof/>
        </w:rPr>
        <w:t>4</w:t>
      </w:r>
      <w:r>
        <w:rPr>
          <w:noProof/>
        </w:rPr>
        <w:fldChar w:fldCharType="end"/>
      </w:r>
    </w:p>
    <w:p w14:paraId="6AF9DF09" w14:textId="1A4DEB70" w:rsidR="00384860" w:rsidRDefault="00384860">
      <w:pPr>
        <w:pStyle w:val="Verzeichnis2"/>
        <w:tabs>
          <w:tab w:val="left" w:pos="800"/>
          <w:tab w:val="right" w:leader="dot" w:pos="8249"/>
        </w:tabs>
        <w:rPr>
          <w:rFonts w:eastAsiaTheme="minorEastAsia" w:cstheme="minorBidi"/>
          <w:b w:val="0"/>
          <w:noProof/>
          <w:color w:val="auto"/>
        </w:rPr>
      </w:pPr>
      <w:r>
        <w:rPr>
          <w:noProof/>
        </w:rPr>
        <w:t>2.1</w:t>
      </w:r>
      <w:r>
        <w:rPr>
          <w:rFonts w:eastAsiaTheme="minorEastAsia" w:cstheme="minorBidi"/>
          <w:b w:val="0"/>
          <w:noProof/>
          <w:color w:val="auto"/>
        </w:rPr>
        <w:tab/>
      </w:r>
      <w:r>
        <w:rPr>
          <w:noProof/>
        </w:rPr>
        <w:t>Firmenbeschreibung</w:t>
      </w:r>
      <w:r>
        <w:rPr>
          <w:noProof/>
        </w:rPr>
        <w:tab/>
      </w:r>
      <w:r>
        <w:rPr>
          <w:noProof/>
        </w:rPr>
        <w:fldChar w:fldCharType="begin"/>
      </w:r>
      <w:r>
        <w:rPr>
          <w:noProof/>
        </w:rPr>
        <w:instrText xml:space="preserve"> PAGEREF _Toc135811103 \h </w:instrText>
      </w:r>
      <w:r>
        <w:rPr>
          <w:noProof/>
        </w:rPr>
      </w:r>
      <w:r>
        <w:rPr>
          <w:noProof/>
        </w:rPr>
        <w:fldChar w:fldCharType="separate"/>
      </w:r>
      <w:r w:rsidR="004C77B6">
        <w:rPr>
          <w:noProof/>
        </w:rPr>
        <w:t>4</w:t>
      </w:r>
      <w:r>
        <w:rPr>
          <w:noProof/>
        </w:rPr>
        <w:fldChar w:fldCharType="end"/>
      </w:r>
    </w:p>
    <w:p w14:paraId="0EEE4BFE" w14:textId="597E792D" w:rsidR="00384860" w:rsidRDefault="00384860">
      <w:pPr>
        <w:pStyle w:val="Verzeichnis2"/>
        <w:tabs>
          <w:tab w:val="left" w:pos="800"/>
          <w:tab w:val="right" w:leader="dot" w:pos="8249"/>
        </w:tabs>
        <w:rPr>
          <w:rFonts w:eastAsiaTheme="minorEastAsia" w:cstheme="minorBidi"/>
          <w:b w:val="0"/>
          <w:noProof/>
          <w:color w:val="auto"/>
        </w:rPr>
      </w:pPr>
      <w:r>
        <w:rPr>
          <w:noProof/>
        </w:rPr>
        <w:t>2.2</w:t>
      </w:r>
      <w:r>
        <w:rPr>
          <w:rFonts w:eastAsiaTheme="minorEastAsia" w:cstheme="minorBidi"/>
          <w:b w:val="0"/>
          <w:noProof/>
          <w:color w:val="auto"/>
        </w:rPr>
        <w:tab/>
      </w:r>
      <w:r>
        <w:rPr>
          <w:noProof/>
        </w:rPr>
        <w:t>Ziel der CCF-Erhebung</w:t>
      </w:r>
      <w:r>
        <w:rPr>
          <w:noProof/>
        </w:rPr>
        <w:tab/>
      </w:r>
      <w:r>
        <w:rPr>
          <w:noProof/>
        </w:rPr>
        <w:fldChar w:fldCharType="begin"/>
      </w:r>
      <w:r>
        <w:rPr>
          <w:noProof/>
        </w:rPr>
        <w:instrText xml:space="preserve"> PAGEREF _Toc135811104 \h </w:instrText>
      </w:r>
      <w:r>
        <w:rPr>
          <w:noProof/>
        </w:rPr>
      </w:r>
      <w:r>
        <w:rPr>
          <w:noProof/>
        </w:rPr>
        <w:fldChar w:fldCharType="separate"/>
      </w:r>
      <w:r w:rsidR="004C77B6">
        <w:rPr>
          <w:noProof/>
        </w:rPr>
        <w:t>4</w:t>
      </w:r>
      <w:r>
        <w:rPr>
          <w:noProof/>
        </w:rPr>
        <w:fldChar w:fldCharType="end"/>
      </w:r>
    </w:p>
    <w:p w14:paraId="66E5FC27" w14:textId="46C2C0D2" w:rsidR="00384860" w:rsidRDefault="00384860">
      <w:pPr>
        <w:pStyle w:val="Verzeichnis2"/>
        <w:tabs>
          <w:tab w:val="left" w:pos="800"/>
          <w:tab w:val="right" w:leader="dot" w:pos="8249"/>
        </w:tabs>
        <w:rPr>
          <w:rFonts w:eastAsiaTheme="minorEastAsia" w:cstheme="minorBidi"/>
          <w:b w:val="0"/>
          <w:noProof/>
          <w:color w:val="auto"/>
        </w:rPr>
      </w:pPr>
      <w:r>
        <w:rPr>
          <w:noProof/>
        </w:rPr>
        <w:t>2.3</w:t>
      </w:r>
      <w:r>
        <w:rPr>
          <w:rFonts w:eastAsiaTheme="minorEastAsia" w:cstheme="minorBidi"/>
          <w:b w:val="0"/>
          <w:noProof/>
          <w:color w:val="auto"/>
        </w:rPr>
        <w:tab/>
      </w:r>
      <w:r>
        <w:rPr>
          <w:noProof/>
        </w:rPr>
        <w:t>Maßnahmen zum Klimaschutz und Klimaziele</w:t>
      </w:r>
      <w:r>
        <w:rPr>
          <w:noProof/>
        </w:rPr>
        <w:tab/>
      </w:r>
      <w:r>
        <w:rPr>
          <w:noProof/>
        </w:rPr>
        <w:fldChar w:fldCharType="begin"/>
      </w:r>
      <w:r>
        <w:rPr>
          <w:noProof/>
        </w:rPr>
        <w:instrText xml:space="preserve"> PAGEREF _Toc135811105 \h </w:instrText>
      </w:r>
      <w:r>
        <w:rPr>
          <w:noProof/>
        </w:rPr>
      </w:r>
      <w:r>
        <w:rPr>
          <w:noProof/>
        </w:rPr>
        <w:fldChar w:fldCharType="separate"/>
      </w:r>
      <w:r w:rsidR="004C77B6">
        <w:rPr>
          <w:noProof/>
        </w:rPr>
        <w:t>5</w:t>
      </w:r>
      <w:r>
        <w:rPr>
          <w:noProof/>
        </w:rPr>
        <w:fldChar w:fldCharType="end"/>
      </w:r>
    </w:p>
    <w:p w14:paraId="20075CCE" w14:textId="26DA9853" w:rsidR="00384860" w:rsidRDefault="00384860">
      <w:pPr>
        <w:pStyle w:val="Verzeichnis1"/>
        <w:rPr>
          <w:rFonts w:eastAsiaTheme="minorEastAsia" w:cstheme="minorBidi"/>
          <w:b w:val="0"/>
          <w:noProof/>
          <w:color w:val="auto"/>
          <w:sz w:val="22"/>
        </w:rPr>
      </w:pPr>
      <w:r>
        <w:rPr>
          <w:noProof/>
        </w:rPr>
        <w:t>3</w:t>
      </w:r>
      <w:r>
        <w:rPr>
          <w:rFonts w:eastAsiaTheme="minorEastAsia" w:cstheme="minorBidi"/>
          <w:b w:val="0"/>
          <w:noProof/>
          <w:color w:val="auto"/>
          <w:sz w:val="22"/>
        </w:rPr>
        <w:tab/>
      </w:r>
      <w:r>
        <w:rPr>
          <w:noProof/>
        </w:rPr>
        <w:t>Systemgrenzen der CCF-Erhebung</w:t>
      </w:r>
      <w:r>
        <w:rPr>
          <w:noProof/>
        </w:rPr>
        <w:tab/>
      </w:r>
      <w:r>
        <w:rPr>
          <w:noProof/>
        </w:rPr>
        <w:fldChar w:fldCharType="begin"/>
      </w:r>
      <w:r>
        <w:rPr>
          <w:noProof/>
        </w:rPr>
        <w:instrText xml:space="preserve"> PAGEREF _Toc135811106 \h </w:instrText>
      </w:r>
      <w:r>
        <w:rPr>
          <w:noProof/>
        </w:rPr>
      </w:r>
      <w:r>
        <w:rPr>
          <w:noProof/>
        </w:rPr>
        <w:fldChar w:fldCharType="separate"/>
      </w:r>
      <w:r w:rsidR="004C77B6">
        <w:rPr>
          <w:noProof/>
        </w:rPr>
        <w:t>6</w:t>
      </w:r>
      <w:r>
        <w:rPr>
          <w:noProof/>
        </w:rPr>
        <w:fldChar w:fldCharType="end"/>
      </w:r>
    </w:p>
    <w:p w14:paraId="55800F3F" w14:textId="7BD60FB3" w:rsidR="00384860" w:rsidRDefault="00384860">
      <w:pPr>
        <w:pStyle w:val="Verzeichnis2"/>
        <w:tabs>
          <w:tab w:val="left" w:pos="800"/>
          <w:tab w:val="right" w:leader="dot" w:pos="8249"/>
        </w:tabs>
        <w:rPr>
          <w:rFonts w:eastAsiaTheme="minorEastAsia" w:cstheme="minorBidi"/>
          <w:b w:val="0"/>
          <w:noProof/>
          <w:color w:val="auto"/>
        </w:rPr>
      </w:pPr>
      <w:r>
        <w:rPr>
          <w:noProof/>
        </w:rPr>
        <w:t>3.1</w:t>
      </w:r>
      <w:r>
        <w:rPr>
          <w:rFonts w:eastAsiaTheme="minorEastAsia" w:cstheme="minorBidi"/>
          <w:b w:val="0"/>
          <w:noProof/>
          <w:color w:val="auto"/>
        </w:rPr>
        <w:tab/>
      </w:r>
      <w:r>
        <w:rPr>
          <w:noProof/>
        </w:rPr>
        <w:t>Systemgrenze des Unternehmens</w:t>
      </w:r>
      <w:r>
        <w:rPr>
          <w:noProof/>
        </w:rPr>
        <w:tab/>
      </w:r>
      <w:r>
        <w:rPr>
          <w:noProof/>
        </w:rPr>
        <w:fldChar w:fldCharType="begin"/>
      </w:r>
      <w:r>
        <w:rPr>
          <w:noProof/>
        </w:rPr>
        <w:instrText xml:space="preserve"> PAGEREF _Toc135811107 \h </w:instrText>
      </w:r>
      <w:r>
        <w:rPr>
          <w:noProof/>
        </w:rPr>
      </w:r>
      <w:r>
        <w:rPr>
          <w:noProof/>
        </w:rPr>
        <w:fldChar w:fldCharType="separate"/>
      </w:r>
      <w:r w:rsidR="004C77B6">
        <w:rPr>
          <w:noProof/>
        </w:rPr>
        <w:t>6</w:t>
      </w:r>
      <w:r>
        <w:rPr>
          <w:noProof/>
        </w:rPr>
        <w:fldChar w:fldCharType="end"/>
      </w:r>
      <w:bookmarkStart w:id="0" w:name="_GoBack"/>
      <w:bookmarkEnd w:id="0"/>
    </w:p>
    <w:p w14:paraId="2CD5B782" w14:textId="5410191E" w:rsidR="00384860" w:rsidRDefault="00384860">
      <w:pPr>
        <w:pStyle w:val="Verzeichnis2"/>
        <w:tabs>
          <w:tab w:val="left" w:pos="800"/>
          <w:tab w:val="right" w:leader="dot" w:pos="8249"/>
        </w:tabs>
        <w:rPr>
          <w:rFonts w:eastAsiaTheme="minorEastAsia" w:cstheme="minorBidi"/>
          <w:b w:val="0"/>
          <w:noProof/>
          <w:color w:val="auto"/>
        </w:rPr>
      </w:pPr>
      <w:r w:rsidRPr="00B91380">
        <w:rPr>
          <w:rFonts w:cs="Arial"/>
          <w:noProof/>
        </w:rPr>
        <w:t>3.2</w:t>
      </w:r>
      <w:r>
        <w:rPr>
          <w:rFonts w:eastAsiaTheme="minorEastAsia" w:cstheme="minorBidi"/>
          <w:b w:val="0"/>
          <w:noProof/>
          <w:color w:val="auto"/>
        </w:rPr>
        <w:tab/>
      </w:r>
      <w:r>
        <w:rPr>
          <w:noProof/>
        </w:rPr>
        <w:t>Berichtszeitraum</w:t>
      </w:r>
      <w:r>
        <w:rPr>
          <w:noProof/>
        </w:rPr>
        <w:tab/>
      </w:r>
      <w:r>
        <w:rPr>
          <w:noProof/>
        </w:rPr>
        <w:fldChar w:fldCharType="begin"/>
      </w:r>
      <w:r>
        <w:rPr>
          <w:noProof/>
        </w:rPr>
        <w:instrText xml:space="preserve"> PAGEREF _Toc135811108 \h </w:instrText>
      </w:r>
      <w:r>
        <w:rPr>
          <w:noProof/>
        </w:rPr>
      </w:r>
      <w:r>
        <w:rPr>
          <w:noProof/>
        </w:rPr>
        <w:fldChar w:fldCharType="separate"/>
      </w:r>
      <w:r w:rsidR="004C77B6">
        <w:rPr>
          <w:noProof/>
        </w:rPr>
        <w:t>6</w:t>
      </w:r>
      <w:r>
        <w:rPr>
          <w:noProof/>
        </w:rPr>
        <w:fldChar w:fldCharType="end"/>
      </w:r>
    </w:p>
    <w:p w14:paraId="1DEDC4FB" w14:textId="0F004D6E" w:rsidR="00384860" w:rsidRDefault="00384860">
      <w:pPr>
        <w:pStyle w:val="Verzeichnis1"/>
        <w:rPr>
          <w:rFonts w:eastAsiaTheme="minorEastAsia" w:cstheme="minorBidi"/>
          <w:b w:val="0"/>
          <w:noProof/>
          <w:color w:val="auto"/>
          <w:sz w:val="22"/>
        </w:rPr>
      </w:pPr>
      <w:r>
        <w:rPr>
          <w:noProof/>
        </w:rPr>
        <w:t>4</w:t>
      </w:r>
      <w:r>
        <w:rPr>
          <w:rFonts w:eastAsiaTheme="minorEastAsia" w:cstheme="minorBidi"/>
          <w:b w:val="0"/>
          <w:noProof/>
          <w:color w:val="auto"/>
          <w:sz w:val="22"/>
        </w:rPr>
        <w:tab/>
      </w:r>
      <w:r>
        <w:rPr>
          <w:noProof/>
        </w:rPr>
        <w:t>Ergebnisse der Corporate Carbon Footprint Erhebung</w:t>
      </w:r>
      <w:r>
        <w:rPr>
          <w:noProof/>
        </w:rPr>
        <w:tab/>
      </w:r>
      <w:r>
        <w:rPr>
          <w:noProof/>
        </w:rPr>
        <w:fldChar w:fldCharType="begin"/>
      </w:r>
      <w:r>
        <w:rPr>
          <w:noProof/>
        </w:rPr>
        <w:instrText xml:space="preserve"> PAGEREF _Toc135811109 \h </w:instrText>
      </w:r>
      <w:r>
        <w:rPr>
          <w:noProof/>
        </w:rPr>
      </w:r>
      <w:r>
        <w:rPr>
          <w:noProof/>
        </w:rPr>
        <w:fldChar w:fldCharType="separate"/>
      </w:r>
      <w:r w:rsidR="004C77B6">
        <w:rPr>
          <w:noProof/>
        </w:rPr>
        <w:t>7</w:t>
      </w:r>
      <w:r>
        <w:rPr>
          <w:noProof/>
        </w:rPr>
        <w:fldChar w:fldCharType="end"/>
      </w:r>
    </w:p>
    <w:p w14:paraId="45AA80FD" w14:textId="3B7C913B" w:rsidR="00384860" w:rsidRDefault="00384860">
      <w:pPr>
        <w:pStyle w:val="Verzeichnis2"/>
        <w:tabs>
          <w:tab w:val="left" w:pos="800"/>
          <w:tab w:val="right" w:leader="dot" w:pos="8249"/>
        </w:tabs>
        <w:rPr>
          <w:rFonts w:eastAsiaTheme="minorEastAsia" w:cstheme="minorBidi"/>
          <w:b w:val="0"/>
          <w:noProof/>
          <w:color w:val="auto"/>
        </w:rPr>
      </w:pPr>
      <w:r>
        <w:rPr>
          <w:noProof/>
        </w:rPr>
        <w:t>4.1</w:t>
      </w:r>
      <w:r>
        <w:rPr>
          <w:rFonts w:eastAsiaTheme="minorEastAsia" w:cstheme="minorBidi"/>
          <w:b w:val="0"/>
          <w:noProof/>
          <w:color w:val="auto"/>
        </w:rPr>
        <w:tab/>
      </w:r>
      <w:r>
        <w:rPr>
          <w:noProof/>
        </w:rPr>
        <w:t>Gesamtemissionen</w:t>
      </w:r>
      <w:r>
        <w:rPr>
          <w:noProof/>
        </w:rPr>
        <w:tab/>
      </w:r>
      <w:r>
        <w:rPr>
          <w:noProof/>
        </w:rPr>
        <w:fldChar w:fldCharType="begin"/>
      </w:r>
      <w:r>
        <w:rPr>
          <w:noProof/>
        </w:rPr>
        <w:instrText xml:space="preserve"> PAGEREF _Toc135811110 \h </w:instrText>
      </w:r>
      <w:r>
        <w:rPr>
          <w:noProof/>
        </w:rPr>
      </w:r>
      <w:r>
        <w:rPr>
          <w:noProof/>
        </w:rPr>
        <w:fldChar w:fldCharType="separate"/>
      </w:r>
      <w:r w:rsidR="004C77B6">
        <w:rPr>
          <w:noProof/>
        </w:rPr>
        <w:t>7</w:t>
      </w:r>
      <w:r>
        <w:rPr>
          <w:noProof/>
        </w:rPr>
        <w:fldChar w:fldCharType="end"/>
      </w:r>
    </w:p>
    <w:p w14:paraId="39233F67" w14:textId="07107E79" w:rsidR="00384860" w:rsidRDefault="00384860">
      <w:pPr>
        <w:pStyle w:val="Verzeichnis2"/>
        <w:tabs>
          <w:tab w:val="left" w:pos="800"/>
          <w:tab w:val="right" w:leader="dot" w:pos="8249"/>
        </w:tabs>
        <w:rPr>
          <w:rFonts w:eastAsiaTheme="minorEastAsia" w:cstheme="minorBidi"/>
          <w:b w:val="0"/>
          <w:noProof/>
          <w:color w:val="auto"/>
        </w:rPr>
      </w:pPr>
      <w:r>
        <w:rPr>
          <w:noProof/>
        </w:rPr>
        <w:t>4.2</w:t>
      </w:r>
      <w:r>
        <w:rPr>
          <w:rFonts w:eastAsiaTheme="minorEastAsia" w:cstheme="minorBidi"/>
          <w:b w:val="0"/>
          <w:noProof/>
          <w:color w:val="auto"/>
        </w:rPr>
        <w:tab/>
      </w:r>
      <w:r>
        <w:rPr>
          <w:noProof/>
        </w:rPr>
        <w:t>Emissionen je Scope im Detail</w:t>
      </w:r>
      <w:r>
        <w:rPr>
          <w:noProof/>
        </w:rPr>
        <w:tab/>
      </w:r>
      <w:r>
        <w:rPr>
          <w:noProof/>
        </w:rPr>
        <w:fldChar w:fldCharType="begin"/>
      </w:r>
      <w:r>
        <w:rPr>
          <w:noProof/>
        </w:rPr>
        <w:instrText xml:space="preserve"> PAGEREF _Toc135811111 \h </w:instrText>
      </w:r>
      <w:r>
        <w:rPr>
          <w:noProof/>
        </w:rPr>
      </w:r>
      <w:r>
        <w:rPr>
          <w:noProof/>
        </w:rPr>
        <w:fldChar w:fldCharType="separate"/>
      </w:r>
      <w:r w:rsidR="004C77B6">
        <w:rPr>
          <w:noProof/>
        </w:rPr>
        <w:t>8</w:t>
      </w:r>
      <w:r>
        <w:rPr>
          <w:noProof/>
        </w:rPr>
        <w:fldChar w:fldCharType="end"/>
      </w:r>
    </w:p>
    <w:p w14:paraId="184435ED" w14:textId="44FE9674" w:rsidR="00384860" w:rsidRDefault="00384860">
      <w:pPr>
        <w:pStyle w:val="Verzeichnis1"/>
        <w:rPr>
          <w:rFonts w:eastAsiaTheme="minorEastAsia" w:cstheme="minorBidi"/>
          <w:b w:val="0"/>
          <w:noProof/>
          <w:color w:val="auto"/>
          <w:sz w:val="22"/>
        </w:rPr>
      </w:pPr>
      <w:r w:rsidRPr="00B91380">
        <w:rPr>
          <w:rFonts w:cs="Arial"/>
          <w:noProof/>
          <w:color w:val="auto"/>
        </w:rPr>
        <w:t>Teil II: Weitergehende Informationen</w:t>
      </w:r>
      <w:r>
        <w:rPr>
          <w:noProof/>
        </w:rPr>
        <w:tab/>
      </w:r>
      <w:r>
        <w:rPr>
          <w:noProof/>
        </w:rPr>
        <w:fldChar w:fldCharType="begin"/>
      </w:r>
      <w:r>
        <w:rPr>
          <w:noProof/>
        </w:rPr>
        <w:instrText xml:space="preserve"> PAGEREF _Toc135811112 \h </w:instrText>
      </w:r>
      <w:r>
        <w:rPr>
          <w:noProof/>
        </w:rPr>
      </w:r>
      <w:r>
        <w:rPr>
          <w:noProof/>
        </w:rPr>
        <w:fldChar w:fldCharType="separate"/>
      </w:r>
      <w:r w:rsidR="004C77B6">
        <w:rPr>
          <w:noProof/>
        </w:rPr>
        <w:t>11</w:t>
      </w:r>
      <w:r>
        <w:rPr>
          <w:noProof/>
        </w:rPr>
        <w:fldChar w:fldCharType="end"/>
      </w:r>
    </w:p>
    <w:p w14:paraId="0BD580F8" w14:textId="7A16606F" w:rsidR="00384860" w:rsidRDefault="00384860">
      <w:pPr>
        <w:pStyle w:val="Verzeichnis1"/>
        <w:rPr>
          <w:rFonts w:eastAsiaTheme="minorEastAsia" w:cstheme="minorBidi"/>
          <w:b w:val="0"/>
          <w:noProof/>
          <w:color w:val="auto"/>
          <w:sz w:val="22"/>
        </w:rPr>
      </w:pPr>
      <w:r>
        <w:rPr>
          <w:noProof/>
        </w:rPr>
        <w:t>5</w:t>
      </w:r>
      <w:r>
        <w:rPr>
          <w:rFonts w:eastAsiaTheme="minorEastAsia" w:cstheme="minorBidi"/>
          <w:b w:val="0"/>
          <w:noProof/>
          <w:color w:val="auto"/>
          <w:sz w:val="22"/>
        </w:rPr>
        <w:tab/>
      </w:r>
      <w:r>
        <w:rPr>
          <w:noProof/>
        </w:rPr>
        <w:t>Klimaperformance</w:t>
      </w:r>
      <w:r>
        <w:rPr>
          <w:noProof/>
        </w:rPr>
        <w:tab/>
      </w:r>
      <w:r>
        <w:rPr>
          <w:noProof/>
        </w:rPr>
        <w:fldChar w:fldCharType="begin"/>
      </w:r>
      <w:r>
        <w:rPr>
          <w:noProof/>
        </w:rPr>
        <w:instrText xml:space="preserve"> PAGEREF _Toc135811113 \h </w:instrText>
      </w:r>
      <w:r>
        <w:rPr>
          <w:noProof/>
        </w:rPr>
      </w:r>
      <w:r>
        <w:rPr>
          <w:noProof/>
        </w:rPr>
        <w:fldChar w:fldCharType="separate"/>
      </w:r>
      <w:r w:rsidR="004C77B6">
        <w:rPr>
          <w:noProof/>
        </w:rPr>
        <w:t>11</w:t>
      </w:r>
      <w:r>
        <w:rPr>
          <w:noProof/>
        </w:rPr>
        <w:fldChar w:fldCharType="end"/>
      </w:r>
    </w:p>
    <w:p w14:paraId="18C16298" w14:textId="59D598A3" w:rsidR="00384860" w:rsidRDefault="00384860">
      <w:pPr>
        <w:pStyle w:val="Verzeichnis2"/>
        <w:tabs>
          <w:tab w:val="left" w:pos="800"/>
          <w:tab w:val="right" w:leader="dot" w:pos="8249"/>
        </w:tabs>
        <w:rPr>
          <w:rFonts w:eastAsiaTheme="minorEastAsia" w:cstheme="minorBidi"/>
          <w:b w:val="0"/>
          <w:noProof/>
          <w:color w:val="auto"/>
        </w:rPr>
      </w:pPr>
      <w:r>
        <w:rPr>
          <w:noProof/>
        </w:rPr>
        <w:t>5.1</w:t>
      </w:r>
      <w:r>
        <w:rPr>
          <w:rFonts w:eastAsiaTheme="minorEastAsia" w:cstheme="minorBidi"/>
          <w:b w:val="0"/>
          <w:noProof/>
          <w:color w:val="auto"/>
        </w:rPr>
        <w:tab/>
      </w:r>
      <w:r>
        <w:rPr>
          <w:noProof/>
        </w:rPr>
        <w:t>Leistungsindikatoren</w:t>
      </w:r>
      <w:r>
        <w:rPr>
          <w:noProof/>
        </w:rPr>
        <w:tab/>
      </w:r>
      <w:r>
        <w:rPr>
          <w:noProof/>
        </w:rPr>
        <w:fldChar w:fldCharType="begin"/>
      </w:r>
      <w:r>
        <w:rPr>
          <w:noProof/>
        </w:rPr>
        <w:instrText xml:space="preserve"> PAGEREF _Toc135811114 \h </w:instrText>
      </w:r>
      <w:r>
        <w:rPr>
          <w:noProof/>
        </w:rPr>
      </w:r>
      <w:r>
        <w:rPr>
          <w:noProof/>
        </w:rPr>
        <w:fldChar w:fldCharType="separate"/>
      </w:r>
      <w:r w:rsidR="004C77B6">
        <w:rPr>
          <w:noProof/>
        </w:rPr>
        <w:t>11</w:t>
      </w:r>
      <w:r>
        <w:rPr>
          <w:noProof/>
        </w:rPr>
        <w:fldChar w:fldCharType="end"/>
      </w:r>
    </w:p>
    <w:p w14:paraId="4DF0130C" w14:textId="22076E26" w:rsidR="00384860" w:rsidRDefault="00384860">
      <w:pPr>
        <w:pStyle w:val="Verzeichnis1"/>
        <w:rPr>
          <w:rFonts w:eastAsiaTheme="minorEastAsia" w:cstheme="minorBidi"/>
          <w:b w:val="0"/>
          <w:noProof/>
          <w:color w:val="auto"/>
          <w:sz w:val="22"/>
        </w:rPr>
      </w:pPr>
      <w:r>
        <w:rPr>
          <w:noProof/>
        </w:rPr>
        <w:t>6</w:t>
      </w:r>
      <w:r>
        <w:rPr>
          <w:rFonts w:eastAsiaTheme="minorEastAsia" w:cstheme="minorBidi"/>
          <w:b w:val="0"/>
          <w:noProof/>
          <w:color w:val="auto"/>
          <w:sz w:val="22"/>
        </w:rPr>
        <w:tab/>
      </w:r>
      <w:r>
        <w:rPr>
          <w:noProof/>
        </w:rPr>
        <w:t>Fachliche Begleitung</w:t>
      </w:r>
      <w:r>
        <w:rPr>
          <w:noProof/>
        </w:rPr>
        <w:tab/>
      </w:r>
      <w:r>
        <w:rPr>
          <w:noProof/>
        </w:rPr>
        <w:fldChar w:fldCharType="begin"/>
      </w:r>
      <w:r>
        <w:rPr>
          <w:noProof/>
        </w:rPr>
        <w:instrText xml:space="preserve"> PAGEREF _Toc135811115 \h </w:instrText>
      </w:r>
      <w:r>
        <w:rPr>
          <w:noProof/>
        </w:rPr>
      </w:r>
      <w:r>
        <w:rPr>
          <w:noProof/>
        </w:rPr>
        <w:fldChar w:fldCharType="separate"/>
      </w:r>
      <w:r w:rsidR="004C77B6">
        <w:rPr>
          <w:noProof/>
        </w:rPr>
        <w:t>13</w:t>
      </w:r>
      <w:r>
        <w:rPr>
          <w:noProof/>
        </w:rPr>
        <w:fldChar w:fldCharType="end"/>
      </w:r>
    </w:p>
    <w:p w14:paraId="0E17852F" w14:textId="739B9622" w:rsidR="00384860" w:rsidRDefault="00384860">
      <w:pPr>
        <w:pStyle w:val="Verzeichnis1"/>
        <w:rPr>
          <w:rFonts w:eastAsiaTheme="minorEastAsia" w:cstheme="minorBidi"/>
          <w:b w:val="0"/>
          <w:noProof/>
          <w:color w:val="auto"/>
          <w:sz w:val="22"/>
        </w:rPr>
      </w:pPr>
      <w:r>
        <w:rPr>
          <w:noProof/>
        </w:rPr>
        <w:t>7</w:t>
      </w:r>
      <w:r>
        <w:rPr>
          <w:rFonts w:eastAsiaTheme="minorEastAsia" w:cstheme="minorBidi"/>
          <w:b w:val="0"/>
          <w:noProof/>
          <w:color w:val="auto"/>
          <w:sz w:val="22"/>
        </w:rPr>
        <w:tab/>
      </w:r>
      <w:r>
        <w:rPr>
          <w:noProof/>
        </w:rPr>
        <w:t>Emissionsminderungsmaßnahmen</w:t>
      </w:r>
      <w:r>
        <w:rPr>
          <w:noProof/>
        </w:rPr>
        <w:tab/>
      </w:r>
      <w:r>
        <w:rPr>
          <w:noProof/>
        </w:rPr>
        <w:fldChar w:fldCharType="begin"/>
      </w:r>
      <w:r>
        <w:rPr>
          <w:noProof/>
        </w:rPr>
        <w:instrText xml:space="preserve"> PAGEREF _Toc135811116 \h </w:instrText>
      </w:r>
      <w:r>
        <w:rPr>
          <w:noProof/>
        </w:rPr>
      </w:r>
      <w:r>
        <w:rPr>
          <w:noProof/>
        </w:rPr>
        <w:fldChar w:fldCharType="separate"/>
      </w:r>
      <w:r w:rsidR="004C77B6">
        <w:rPr>
          <w:noProof/>
        </w:rPr>
        <w:t>13</w:t>
      </w:r>
      <w:r>
        <w:rPr>
          <w:noProof/>
        </w:rPr>
        <w:fldChar w:fldCharType="end"/>
      </w:r>
    </w:p>
    <w:p w14:paraId="375D1D0A" w14:textId="2C066487" w:rsidR="00384860" w:rsidRDefault="00384860">
      <w:pPr>
        <w:pStyle w:val="Verzeichnis2"/>
        <w:tabs>
          <w:tab w:val="left" w:pos="800"/>
          <w:tab w:val="right" w:leader="dot" w:pos="8249"/>
        </w:tabs>
        <w:rPr>
          <w:rFonts w:eastAsiaTheme="minorEastAsia" w:cstheme="minorBidi"/>
          <w:b w:val="0"/>
          <w:noProof/>
          <w:color w:val="auto"/>
        </w:rPr>
      </w:pPr>
      <w:r>
        <w:rPr>
          <w:noProof/>
        </w:rPr>
        <w:t>7.1</w:t>
      </w:r>
      <w:r>
        <w:rPr>
          <w:rFonts w:eastAsiaTheme="minorEastAsia" w:cstheme="minorBidi"/>
          <w:b w:val="0"/>
          <w:noProof/>
          <w:color w:val="auto"/>
        </w:rPr>
        <w:tab/>
      </w:r>
      <w:r>
        <w:rPr>
          <w:noProof/>
        </w:rPr>
        <w:t>Reduktionsmaßnahmen</w:t>
      </w:r>
      <w:r>
        <w:rPr>
          <w:noProof/>
        </w:rPr>
        <w:tab/>
      </w:r>
      <w:r>
        <w:rPr>
          <w:noProof/>
        </w:rPr>
        <w:fldChar w:fldCharType="begin"/>
      </w:r>
      <w:r>
        <w:rPr>
          <w:noProof/>
        </w:rPr>
        <w:instrText xml:space="preserve"> PAGEREF _Toc135811117 \h </w:instrText>
      </w:r>
      <w:r>
        <w:rPr>
          <w:noProof/>
        </w:rPr>
      </w:r>
      <w:r>
        <w:rPr>
          <w:noProof/>
        </w:rPr>
        <w:fldChar w:fldCharType="separate"/>
      </w:r>
      <w:r w:rsidR="004C77B6">
        <w:rPr>
          <w:noProof/>
        </w:rPr>
        <w:t>13</w:t>
      </w:r>
      <w:r>
        <w:rPr>
          <w:noProof/>
        </w:rPr>
        <w:fldChar w:fldCharType="end"/>
      </w:r>
    </w:p>
    <w:p w14:paraId="0A2FCE9F" w14:textId="3EFE9195" w:rsidR="00384860" w:rsidRDefault="00384860">
      <w:pPr>
        <w:pStyle w:val="Verzeichnis3"/>
        <w:rPr>
          <w:rFonts w:eastAsiaTheme="minorEastAsia" w:cstheme="minorBidi"/>
          <w:noProof/>
          <w:color w:val="auto"/>
        </w:rPr>
      </w:pPr>
      <w:r w:rsidRPr="00B91380">
        <w:rPr>
          <w:bCs/>
          <w:noProof/>
        </w:rPr>
        <w:t>7.1.1</w:t>
      </w:r>
      <w:r>
        <w:rPr>
          <w:rFonts w:eastAsiaTheme="minorEastAsia" w:cstheme="minorBidi"/>
          <w:noProof/>
          <w:color w:val="auto"/>
        </w:rPr>
        <w:tab/>
      </w:r>
      <w:r w:rsidRPr="00B91380">
        <w:rPr>
          <w:bCs/>
          <w:noProof/>
        </w:rPr>
        <w:t>Rückblick auf 2021</w:t>
      </w:r>
      <w:r>
        <w:rPr>
          <w:noProof/>
        </w:rPr>
        <w:tab/>
      </w:r>
      <w:r>
        <w:rPr>
          <w:noProof/>
        </w:rPr>
        <w:fldChar w:fldCharType="begin"/>
      </w:r>
      <w:r>
        <w:rPr>
          <w:noProof/>
        </w:rPr>
        <w:instrText xml:space="preserve"> PAGEREF _Toc135811118 \h </w:instrText>
      </w:r>
      <w:r>
        <w:rPr>
          <w:noProof/>
        </w:rPr>
      </w:r>
      <w:r>
        <w:rPr>
          <w:noProof/>
        </w:rPr>
        <w:fldChar w:fldCharType="separate"/>
      </w:r>
      <w:r w:rsidR="004C77B6">
        <w:rPr>
          <w:noProof/>
        </w:rPr>
        <w:t>13</w:t>
      </w:r>
      <w:r>
        <w:rPr>
          <w:noProof/>
        </w:rPr>
        <w:fldChar w:fldCharType="end"/>
      </w:r>
    </w:p>
    <w:p w14:paraId="67164FE6" w14:textId="459CCD61" w:rsidR="00384860" w:rsidRDefault="00384860">
      <w:pPr>
        <w:pStyle w:val="Verzeichnis3"/>
        <w:rPr>
          <w:rFonts w:eastAsiaTheme="minorEastAsia" w:cstheme="minorBidi"/>
          <w:noProof/>
          <w:color w:val="auto"/>
        </w:rPr>
      </w:pPr>
      <w:r w:rsidRPr="00B91380">
        <w:rPr>
          <w:bCs/>
          <w:noProof/>
        </w:rPr>
        <w:t>7.1.2</w:t>
      </w:r>
      <w:r>
        <w:rPr>
          <w:rFonts w:eastAsiaTheme="minorEastAsia" w:cstheme="minorBidi"/>
          <w:noProof/>
          <w:color w:val="auto"/>
        </w:rPr>
        <w:tab/>
      </w:r>
      <w:r w:rsidRPr="00B91380">
        <w:rPr>
          <w:bCs/>
          <w:noProof/>
        </w:rPr>
        <w:t>Rückblick auf 2022</w:t>
      </w:r>
      <w:r>
        <w:rPr>
          <w:noProof/>
        </w:rPr>
        <w:tab/>
      </w:r>
      <w:r>
        <w:rPr>
          <w:noProof/>
        </w:rPr>
        <w:fldChar w:fldCharType="begin"/>
      </w:r>
      <w:r>
        <w:rPr>
          <w:noProof/>
        </w:rPr>
        <w:instrText xml:space="preserve"> PAGEREF _Toc135811119 \h </w:instrText>
      </w:r>
      <w:r>
        <w:rPr>
          <w:noProof/>
        </w:rPr>
      </w:r>
      <w:r>
        <w:rPr>
          <w:noProof/>
        </w:rPr>
        <w:fldChar w:fldCharType="separate"/>
      </w:r>
      <w:r w:rsidR="004C77B6">
        <w:rPr>
          <w:noProof/>
        </w:rPr>
        <w:t>15</w:t>
      </w:r>
      <w:r>
        <w:rPr>
          <w:noProof/>
        </w:rPr>
        <w:fldChar w:fldCharType="end"/>
      </w:r>
    </w:p>
    <w:p w14:paraId="5E0415DA" w14:textId="613F330D" w:rsidR="00384860" w:rsidRDefault="00384860">
      <w:pPr>
        <w:pStyle w:val="Verzeichnis3"/>
        <w:rPr>
          <w:rFonts w:eastAsiaTheme="minorEastAsia" w:cstheme="minorBidi"/>
          <w:noProof/>
          <w:color w:val="auto"/>
        </w:rPr>
      </w:pPr>
      <w:r w:rsidRPr="00B91380">
        <w:rPr>
          <w:bCs/>
          <w:noProof/>
        </w:rPr>
        <w:t>7.1.3</w:t>
      </w:r>
      <w:r>
        <w:rPr>
          <w:rFonts w:eastAsiaTheme="minorEastAsia" w:cstheme="minorBidi"/>
          <w:noProof/>
          <w:color w:val="auto"/>
        </w:rPr>
        <w:tab/>
      </w:r>
      <w:r w:rsidRPr="00B91380">
        <w:rPr>
          <w:bCs/>
          <w:noProof/>
        </w:rPr>
        <w:t>Planung für 2023</w:t>
      </w:r>
      <w:r>
        <w:rPr>
          <w:noProof/>
        </w:rPr>
        <w:tab/>
      </w:r>
      <w:r>
        <w:rPr>
          <w:noProof/>
        </w:rPr>
        <w:fldChar w:fldCharType="begin"/>
      </w:r>
      <w:r>
        <w:rPr>
          <w:noProof/>
        </w:rPr>
        <w:instrText xml:space="preserve"> PAGEREF _Toc135811120 \h </w:instrText>
      </w:r>
      <w:r>
        <w:rPr>
          <w:noProof/>
        </w:rPr>
      </w:r>
      <w:r>
        <w:rPr>
          <w:noProof/>
        </w:rPr>
        <w:fldChar w:fldCharType="separate"/>
      </w:r>
      <w:r w:rsidR="004C77B6">
        <w:rPr>
          <w:noProof/>
        </w:rPr>
        <w:t>15</w:t>
      </w:r>
      <w:r>
        <w:rPr>
          <w:noProof/>
        </w:rPr>
        <w:fldChar w:fldCharType="end"/>
      </w:r>
    </w:p>
    <w:p w14:paraId="5DC72A3B" w14:textId="341E9552" w:rsidR="00384860" w:rsidRDefault="00384860">
      <w:pPr>
        <w:pStyle w:val="Verzeichnis3"/>
        <w:rPr>
          <w:rFonts w:eastAsiaTheme="minorEastAsia" w:cstheme="minorBidi"/>
          <w:noProof/>
          <w:color w:val="auto"/>
        </w:rPr>
      </w:pPr>
      <w:r w:rsidRPr="00B91380">
        <w:rPr>
          <w:bCs/>
          <w:noProof/>
        </w:rPr>
        <w:t>7.1.4</w:t>
      </w:r>
      <w:r>
        <w:rPr>
          <w:rFonts w:eastAsiaTheme="minorEastAsia" w:cstheme="minorBidi"/>
          <w:noProof/>
          <w:color w:val="auto"/>
        </w:rPr>
        <w:tab/>
      </w:r>
      <w:r w:rsidRPr="00B91380">
        <w:rPr>
          <w:bCs/>
          <w:noProof/>
        </w:rPr>
        <w:t>Planungen für die kommenden Jahre</w:t>
      </w:r>
      <w:r>
        <w:rPr>
          <w:noProof/>
        </w:rPr>
        <w:tab/>
      </w:r>
      <w:r>
        <w:rPr>
          <w:noProof/>
        </w:rPr>
        <w:fldChar w:fldCharType="begin"/>
      </w:r>
      <w:r>
        <w:rPr>
          <w:noProof/>
        </w:rPr>
        <w:instrText xml:space="preserve"> PAGEREF _Toc135811121 \h </w:instrText>
      </w:r>
      <w:r>
        <w:rPr>
          <w:noProof/>
        </w:rPr>
      </w:r>
      <w:r>
        <w:rPr>
          <w:noProof/>
        </w:rPr>
        <w:fldChar w:fldCharType="separate"/>
      </w:r>
      <w:r w:rsidR="004C77B6">
        <w:rPr>
          <w:noProof/>
        </w:rPr>
        <w:t>16</w:t>
      </w:r>
      <w:r>
        <w:rPr>
          <w:noProof/>
        </w:rPr>
        <w:fldChar w:fldCharType="end"/>
      </w:r>
    </w:p>
    <w:p w14:paraId="3CABF1B3" w14:textId="55A2B285" w:rsidR="00384860" w:rsidRDefault="00384860">
      <w:pPr>
        <w:pStyle w:val="Verzeichnis2"/>
        <w:tabs>
          <w:tab w:val="left" w:pos="800"/>
          <w:tab w:val="right" w:leader="dot" w:pos="8249"/>
        </w:tabs>
        <w:rPr>
          <w:rFonts w:eastAsiaTheme="minorEastAsia" w:cstheme="minorBidi"/>
          <w:b w:val="0"/>
          <w:noProof/>
          <w:color w:val="auto"/>
        </w:rPr>
      </w:pPr>
      <w:r>
        <w:rPr>
          <w:noProof/>
        </w:rPr>
        <w:t>7.2</w:t>
      </w:r>
      <w:r>
        <w:rPr>
          <w:rFonts w:eastAsiaTheme="minorEastAsia" w:cstheme="minorBidi"/>
          <w:b w:val="0"/>
          <w:noProof/>
          <w:color w:val="auto"/>
        </w:rPr>
        <w:tab/>
      </w:r>
      <w:r>
        <w:rPr>
          <w:noProof/>
        </w:rPr>
        <w:t>Kompensationszertifikate und Klimaneutralität</w:t>
      </w:r>
      <w:r>
        <w:rPr>
          <w:noProof/>
        </w:rPr>
        <w:tab/>
      </w:r>
      <w:r>
        <w:rPr>
          <w:noProof/>
        </w:rPr>
        <w:fldChar w:fldCharType="begin"/>
      </w:r>
      <w:r>
        <w:rPr>
          <w:noProof/>
        </w:rPr>
        <w:instrText xml:space="preserve"> PAGEREF _Toc135811122 \h </w:instrText>
      </w:r>
      <w:r>
        <w:rPr>
          <w:noProof/>
        </w:rPr>
      </w:r>
      <w:r>
        <w:rPr>
          <w:noProof/>
        </w:rPr>
        <w:fldChar w:fldCharType="separate"/>
      </w:r>
      <w:r w:rsidR="004C77B6">
        <w:rPr>
          <w:noProof/>
        </w:rPr>
        <w:t>16</w:t>
      </w:r>
      <w:r>
        <w:rPr>
          <w:noProof/>
        </w:rPr>
        <w:fldChar w:fldCharType="end"/>
      </w:r>
    </w:p>
    <w:p w14:paraId="2B6438D2" w14:textId="7ADEE531" w:rsidR="00384860" w:rsidRDefault="00384860">
      <w:pPr>
        <w:pStyle w:val="Verzeichnis1"/>
        <w:rPr>
          <w:rFonts w:eastAsiaTheme="minorEastAsia" w:cstheme="minorBidi"/>
          <w:b w:val="0"/>
          <w:noProof/>
          <w:color w:val="auto"/>
          <w:sz w:val="22"/>
        </w:rPr>
      </w:pPr>
      <w:r>
        <w:rPr>
          <w:noProof/>
        </w:rPr>
        <w:t>8</w:t>
      </w:r>
      <w:r>
        <w:rPr>
          <w:rFonts w:eastAsiaTheme="minorEastAsia" w:cstheme="minorBidi"/>
          <w:b w:val="0"/>
          <w:noProof/>
          <w:color w:val="auto"/>
          <w:sz w:val="22"/>
        </w:rPr>
        <w:tab/>
      </w:r>
      <w:r>
        <w:rPr>
          <w:noProof/>
        </w:rPr>
        <w:t>Kontakt</w:t>
      </w:r>
      <w:r>
        <w:rPr>
          <w:noProof/>
        </w:rPr>
        <w:tab/>
      </w:r>
      <w:r>
        <w:rPr>
          <w:noProof/>
        </w:rPr>
        <w:fldChar w:fldCharType="begin"/>
      </w:r>
      <w:r>
        <w:rPr>
          <w:noProof/>
        </w:rPr>
        <w:instrText xml:space="preserve"> PAGEREF _Toc135811123 \h </w:instrText>
      </w:r>
      <w:r>
        <w:rPr>
          <w:noProof/>
        </w:rPr>
      </w:r>
      <w:r>
        <w:rPr>
          <w:noProof/>
        </w:rPr>
        <w:fldChar w:fldCharType="separate"/>
      </w:r>
      <w:r w:rsidR="004C77B6">
        <w:rPr>
          <w:noProof/>
        </w:rPr>
        <w:t>16</w:t>
      </w:r>
      <w:r>
        <w:rPr>
          <w:noProof/>
        </w:rPr>
        <w:fldChar w:fldCharType="end"/>
      </w:r>
    </w:p>
    <w:p w14:paraId="2FB67A54" w14:textId="5ECF6D9A" w:rsidR="00422926" w:rsidRPr="000A001E" w:rsidRDefault="000A001E" w:rsidP="009A0314">
      <w:pPr>
        <w:spacing w:after="120" w:line="280" w:lineRule="exact"/>
        <w:jc w:val="center"/>
        <w:rPr>
          <w:rFonts w:cs="Arial"/>
          <w:bCs/>
        </w:rPr>
      </w:pPr>
      <w:r w:rsidRPr="009A0314">
        <w:rPr>
          <w:rFonts w:cs="Arial"/>
          <w:bCs/>
        </w:rPr>
        <w:fldChar w:fldCharType="end"/>
      </w:r>
    </w:p>
    <w:p w14:paraId="2A83C8D9" w14:textId="77777777" w:rsidR="00422926" w:rsidRPr="000A001E" w:rsidRDefault="00422926" w:rsidP="000A001E">
      <w:pPr>
        <w:spacing w:after="120" w:line="280" w:lineRule="exact"/>
        <w:jc w:val="center"/>
        <w:rPr>
          <w:rFonts w:cs="Arial"/>
          <w:bCs/>
        </w:rPr>
      </w:pPr>
    </w:p>
    <w:p w14:paraId="1CBCFC8F" w14:textId="77777777" w:rsidR="00422926" w:rsidRPr="00720300" w:rsidRDefault="00422926" w:rsidP="00973942">
      <w:pPr>
        <w:jc w:val="center"/>
        <w:rPr>
          <w:rFonts w:cs="Arial"/>
        </w:rPr>
      </w:pPr>
    </w:p>
    <w:p w14:paraId="1931B79E" w14:textId="77777777" w:rsidR="00422926" w:rsidRPr="00AC1463" w:rsidRDefault="00422926" w:rsidP="00973942">
      <w:pPr>
        <w:jc w:val="center"/>
        <w:rPr>
          <w:rFonts w:cs="Arial"/>
          <w:b/>
        </w:rPr>
      </w:pPr>
    </w:p>
    <w:p w14:paraId="235DEEAF" w14:textId="77777777" w:rsidR="00422926" w:rsidRPr="00AC1463" w:rsidRDefault="00422926" w:rsidP="00973942">
      <w:pPr>
        <w:jc w:val="center"/>
        <w:rPr>
          <w:rFonts w:cs="Arial"/>
          <w:b/>
        </w:rPr>
      </w:pPr>
    </w:p>
    <w:p w14:paraId="659A7196" w14:textId="77777777" w:rsidR="00422926" w:rsidRPr="00AC1463" w:rsidRDefault="00422926" w:rsidP="00973942">
      <w:pPr>
        <w:jc w:val="center"/>
        <w:rPr>
          <w:rFonts w:cs="Arial"/>
          <w:b/>
        </w:rPr>
      </w:pPr>
    </w:p>
    <w:p w14:paraId="7104624D" w14:textId="77777777" w:rsidR="00422926" w:rsidRPr="00AC1463" w:rsidRDefault="00422926" w:rsidP="00973942">
      <w:pPr>
        <w:jc w:val="center"/>
        <w:rPr>
          <w:rFonts w:cs="Arial"/>
          <w:b/>
        </w:rPr>
      </w:pPr>
    </w:p>
    <w:p w14:paraId="6F73297B" w14:textId="56292265" w:rsidR="00973942" w:rsidRPr="00AC1463" w:rsidRDefault="00AC0B61" w:rsidP="00AC0B61">
      <w:pPr>
        <w:tabs>
          <w:tab w:val="left" w:pos="4721"/>
        </w:tabs>
        <w:rPr>
          <w:rFonts w:cs="Arial"/>
        </w:rPr>
      </w:pPr>
      <w:r>
        <w:rPr>
          <w:rFonts w:cs="Arial"/>
        </w:rPr>
        <w:tab/>
      </w:r>
    </w:p>
    <w:p w14:paraId="300B3504" w14:textId="77777777" w:rsidR="00973942" w:rsidRPr="00AC1463" w:rsidRDefault="00973942" w:rsidP="00973942">
      <w:pPr>
        <w:rPr>
          <w:rFonts w:cs="Arial"/>
        </w:rPr>
      </w:pPr>
    </w:p>
    <w:p w14:paraId="03A674A3" w14:textId="77777777" w:rsidR="000A2757" w:rsidRPr="00AC1463" w:rsidRDefault="000A2757">
      <w:pPr>
        <w:jc w:val="left"/>
        <w:rPr>
          <w:rFonts w:cs="Arial"/>
          <w:b/>
        </w:rPr>
      </w:pPr>
      <w:r w:rsidRPr="00AC1463">
        <w:rPr>
          <w:rFonts w:cs="Arial"/>
          <w:b/>
        </w:rPr>
        <w:br w:type="page"/>
      </w:r>
    </w:p>
    <w:p w14:paraId="7601CE9E" w14:textId="219AC258" w:rsidR="00F83D77" w:rsidRPr="00A86FC2" w:rsidRDefault="00F83D77" w:rsidP="009215B1">
      <w:pPr>
        <w:pStyle w:val="Titel"/>
        <w:spacing w:line="280" w:lineRule="atLeast"/>
        <w:jc w:val="left"/>
        <w:rPr>
          <w:rFonts w:cs="Arial"/>
          <w:b/>
          <w:color w:val="auto"/>
          <w:sz w:val="28"/>
          <w:szCs w:val="28"/>
        </w:rPr>
      </w:pPr>
      <w:bookmarkStart w:id="1" w:name="_Toc73110759"/>
      <w:bookmarkStart w:id="2" w:name="_Toc135811100"/>
      <w:r w:rsidRPr="00A86FC2">
        <w:rPr>
          <w:rFonts w:cs="Arial"/>
          <w:b/>
          <w:color w:val="auto"/>
          <w:sz w:val="28"/>
          <w:szCs w:val="28"/>
        </w:rPr>
        <w:lastRenderedPageBreak/>
        <w:t>Teil</w:t>
      </w:r>
      <w:r w:rsidR="00A86FC2" w:rsidRPr="00A86FC2">
        <w:rPr>
          <w:rFonts w:cs="Arial"/>
          <w:b/>
          <w:color w:val="auto"/>
          <w:sz w:val="28"/>
          <w:szCs w:val="28"/>
        </w:rPr>
        <w:t xml:space="preserve"> I</w:t>
      </w:r>
      <w:r w:rsidRPr="00A86FC2">
        <w:rPr>
          <w:rFonts w:cs="Arial"/>
          <w:b/>
          <w:color w:val="auto"/>
          <w:sz w:val="28"/>
          <w:szCs w:val="28"/>
        </w:rPr>
        <w:t xml:space="preserve">: </w:t>
      </w:r>
      <w:r w:rsidR="00C46AD1">
        <w:rPr>
          <w:rFonts w:cs="Arial"/>
          <w:b/>
          <w:color w:val="auto"/>
          <w:sz w:val="28"/>
          <w:szCs w:val="28"/>
        </w:rPr>
        <w:t>Grundlegende</w:t>
      </w:r>
      <w:r w:rsidRPr="00A86FC2">
        <w:rPr>
          <w:rFonts w:cs="Arial"/>
          <w:b/>
          <w:color w:val="auto"/>
          <w:sz w:val="28"/>
          <w:szCs w:val="28"/>
        </w:rPr>
        <w:t xml:space="preserve"> Informationen</w:t>
      </w:r>
      <w:bookmarkEnd w:id="1"/>
      <w:bookmarkEnd w:id="2"/>
    </w:p>
    <w:p w14:paraId="38FDB27F" w14:textId="267C250F" w:rsidR="00973942" w:rsidRPr="00493A2A" w:rsidRDefault="00320416" w:rsidP="002422AE">
      <w:pPr>
        <w:pStyle w:val="berschrift1"/>
      </w:pPr>
      <w:bookmarkStart w:id="3" w:name="_Toc73110760"/>
      <w:bookmarkStart w:id="4" w:name="_Toc135811101"/>
      <w:r w:rsidRPr="00493A2A">
        <w:t>Einleitung</w:t>
      </w:r>
      <w:bookmarkEnd w:id="3"/>
      <w:bookmarkEnd w:id="4"/>
    </w:p>
    <w:p w14:paraId="187C275B" w14:textId="4938DDDA" w:rsidR="00973942" w:rsidRDefault="00BA77E6" w:rsidP="009215B1">
      <w:pPr>
        <w:autoSpaceDE w:val="0"/>
        <w:autoSpaceDN w:val="0"/>
        <w:adjustRightInd w:val="0"/>
        <w:spacing w:after="120" w:line="280" w:lineRule="atLeast"/>
        <w:rPr>
          <w:rFonts w:cs="Arial"/>
          <w:color w:val="auto"/>
        </w:rPr>
      </w:pPr>
      <w:r w:rsidRPr="00BA77E6">
        <w:rPr>
          <w:rFonts w:cs="Arial"/>
          <w:color w:val="auto"/>
        </w:rPr>
        <w:t>KDE</w:t>
      </w:r>
      <w:r>
        <w:rPr>
          <w:rFonts w:cs="Arial"/>
          <w:color w:val="auto"/>
        </w:rPr>
        <w:t xml:space="preserve"> </w:t>
      </w:r>
      <w:r w:rsidR="00973942" w:rsidRPr="00BA77E6">
        <w:rPr>
          <w:rFonts w:cs="Arial"/>
          <w:color w:val="auto"/>
        </w:rPr>
        <w:t>is</w:t>
      </w:r>
      <w:r w:rsidR="006E4E62" w:rsidRPr="00BA77E6">
        <w:rPr>
          <w:rFonts w:cs="Arial"/>
          <w:color w:val="auto"/>
        </w:rPr>
        <w:t xml:space="preserve">t </w:t>
      </w:r>
      <w:r w:rsidR="006E4E62" w:rsidRPr="00E83B17">
        <w:rPr>
          <w:rFonts w:cs="Arial"/>
          <w:color w:val="auto"/>
        </w:rPr>
        <w:t>erfreut</w:t>
      </w:r>
      <w:r w:rsidR="004A76A6" w:rsidRPr="00E83B17">
        <w:rPr>
          <w:rFonts w:cs="Arial"/>
          <w:color w:val="auto"/>
        </w:rPr>
        <w:t>,</w:t>
      </w:r>
      <w:r w:rsidR="006E4E62" w:rsidRPr="00E83B17">
        <w:rPr>
          <w:rFonts w:cs="Arial"/>
          <w:color w:val="auto"/>
        </w:rPr>
        <w:t xml:space="preserve"> Ihnen </w:t>
      </w:r>
      <w:r w:rsidR="00647F48">
        <w:rPr>
          <w:rFonts w:cs="Arial"/>
          <w:color w:val="auto"/>
        </w:rPr>
        <w:t>seinen</w:t>
      </w:r>
      <w:r w:rsidR="00647F48" w:rsidRPr="00E83B17">
        <w:rPr>
          <w:rFonts w:cs="Arial"/>
          <w:color w:val="auto"/>
        </w:rPr>
        <w:t xml:space="preserve"> </w:t>
      </w:r>
      <w:r w:rsidR="00191234" w:rsidRPr="00E83B17">
        <w:rPr>
          <w:rFonts w:cs="Arial"/>
          <w:color w:val="auto"/>
        </w:rPr>
        <w:t xml:space="preserve">Corporate </w:t>
      </w:r>
      <w:r w:rsidR="00973942" w:rsidRPr="00E83B17">
        <w:rPr>
          <w:rFonts w:cs="Arial"/>
          <w:color w:val="auto"/>
        </w:rPr>
        <w:t>Carbon Footprint</w:t>
      </w:r>
      <w:r w:rsidR="00191234" w:rsidRPr="00E83B17">
        <w:rPr>
          <w:rFonts w:cs="Arial"/>
          <w:color w:val="auto"/>
        </w:rPr>
        <w:t xml:space="preserve"> (CCF)</w:t>
      </w:r>
      <w:r w:rsidR="00973942" w:rsidRPr="00E83B17">
        <w:rPr>
          <w:rFonts w:cs="Arial"/>
          <w:color w:val="auto"/>
        </w:rPr>
        <w:t xml:space="preserve"> </w:t>
      </w:r>
      <w:r w:rsidR="006E4E62" w:rsidRPr="00E83B17">
        <w:rPr>
          <w:rFonts w:cs="Arial"/>
          <w:color w:val="auto"/>
        </w:rPr>
        <w:t xml:space="preserve">Bericht </w:t>
      </w:r>
      <w:r w:rsidR="00327D13" w:rsidRPr="00E83B17">
        <w:rPr>
          <w:rFonts w:cs="Arial"/>
          <w:color w:val="auto"/>
        </w:rPr>
        <w:t xml:space="preserve">für das </w:t>
      </w:r>
      <w:r w:rsidR="00AC0B61" w:rsidRPr="00E83B17">
        <w:rPr>
          <w:rFonts w:cs="Arial"/>
          <w:color w:val="auto"/>
        </w:rPr>
        <w:t>Bilanzierungsj</w:t>
      </w:r>
      <w:r w:rsidR="00327D13" w:rsidRPr="00E83B17">
        <w:rPr>
          <w:rFonts w:cs="Arial"/>
          <w:color w:val="auto"/>
        </w:rPr>
        <w:t xml:space="preserve">ahr </w:t>
      </w:r>
      <w:r w:rsidRPr="00E83B17">
        <w:rPr>
          <w:rFonts w:cs="Arial"/>
          <w:color w:val="auto"/>
        </w:rPr>
        <w:t>202</w:t>
      </w:r>
      <w:r w:rsidR="00FD6021">
        <w:rPr>
          <w:rFonts w:cs="Arial"/>
          <w:color w:val="auto"/>
        </w:rPr>
        <w:t>2</w:t>
      </w:r>
      <w:r w:rsidR="00327D13" w:rsidRPr="00E83B17">
        <w:rPr>
          <w:rFonts w:cs="Arial"/>
          <w:color w:val="auto"/>
        </w:rPr>
        <w:t xml:space="preserve"> </w:t>
      </w:r>
      <w:r w:rsidR="006E4E62" w:rsidRPr="00E83B17">
        <w:rPr>
          <w:rFonts w:cs="Arial"/>
          <w:color w:val="auto"/>
        </w:rPr>
        <w:t>zu präsentieren</w:t>
      </w:r>
      <w:r w:rsidR="00973942" w:rsidRPr="00E83B17">
        <w:rPr>
          <w:rFonts w:cs="Arial"/>
          <w:color w:val="auto"/>
        </w:rPr>
        <w:t xml:space="preserve">, </w:t>
      </w:r>
      <w:r w:rsidR="006E4E62" w:rsidRPr="00E83B17">
        <w:rPr>
          <w:rFonts w:cs="Arial"/>
          <w:color w:val="auto"/>
        </w:rPr>
        <w:t xml:space="preserve">der den </w:t>
      </w:r>
      <w:r w:rsidR="00FD6021">
        <w:rPr>
          <w:rFonts w:cs="Arial"/>
          <w:color w:val="auto"/>
        </w:rPr>
        <w:t>dritten</w:t>
      </w:r>
      <w:r w:rsidR="006E4E62" w:rsidRPr="00E83B17">
        <w:rPr>
          <w:rFonts w:cs="Arial"/>
          <w:color w:val="auto"/>
        </w:rPr>
        <w:t xml:space="preserve"> </w:t>
      </w:r>
      <w:r w:rsidR="001D505A" w:rsidRPr="00E83B17">
        <w:rPr>
          <w:rFonts w:cs="Arial"/>
          <w:color w:val="auto"/>
        </w:rPr>
        <w:t>CCF</w:t>
      </w:r>
      <w:r w:rsidR="00C46AD1" w:rsidRPr="00E83B17">
        <w:rPr>
          <w:rFonts w:cs="Arial"/>
          <w:color w:val="auto"/>
        </w:rPr>
        <w:t>-</w:t>
      </w:r>
      <w:r w:rsidR="006E4E62" w:rsidRPr="00E83B17">
        <w:rPr>
          <w:rFonts w:cs="Arial"/>
          <w:color w:val="auto"/>
        </w:rPr>
        <w:t>Bericht</w:t>
      </w:r>
      <w:r w:rsidR="00973942" w:rsidRPr="00E83B17">
        <w:rPr>
          <w:rFonts w:cs="Arial"/>
          <w:color w:val="auto"/>
        </w:rPr>
        <w:t xml:space="preserve"> </w:t>
      </w:r>
      <w:r w:rsidR="00C46AD1" w:rsidRPr="00E83B17">
        <w:rPr>
          <w:rFonts w:cs="Arial"/>
          <w:color w:val="auto"/>
        </w:rPr>
        <w:t xml:space="preserve">von </w:t>
      </w:r>
      <w:r w:rsidRPr="00E83B17">
        <w:rPr>
          <w:rFonts w:cs="Arial"/>
          <w:color w:val="auto"/>
        </w:rPr>
        <w:t xml:space="preserve">KDE </w:t>
      </w:r>
      <w:r w:rsidR="006E4E62" w:rsidRPr="00E83B17">
        <w:rPr>
          <w:rFonts w:cs="Arial"/>
          <w:color w:val="auto"/>
        </w:rPr>
        <w:t>darstellt</w:t>
      </w:r>
      <w:r w:rsidR="00973942" w:rsidRPr="00E83B17">
        <w:rPr>
          <w:rFonts w:cs="Arial"/>
          <w:color w:val="auto"/>
        </w:rPr>
        <w:t xml:space="preserve">. </w:t>
      </w:r>
    </w:p>
    <w:p w14:paraId="60666DFD" w14:textId="595C43D1" w:rsidR="005456B4" w:rsidRDefault="005456B4" w:rsidP="0056300B">
      <w:r w:rsidRPr="00D65578">
        <w:t xml:space="preserve">Der </w:t>
      </w:r>
      <w:r>
        <w:t>CCF</w:t>
      </w:r>
      <w:r w:rsidRPr="00D65578">
        <w:t xml:space="preserve"> wird in „CO</w:t>
      </w:r>
      <w:r w:rsidRPr="00D65578">
        <w:rPr>
          <w:vertAlign w:val="subscript"/>
        </w:rPr>
        <w:t>2</w:t>
      </w:r>
      <w:r w:rsidRPr="00D65578">
        <w:t>-Äquivalente“ angegeben. CO₂-Äquivalente (CO₂e) sind eine Maßeinheit zur Vereinheitlichung der Klimawirkung der unterschiedlichen Treibhausgase.</w:t>
      </w:r>
    </w:p>
    <w:p w14:paraId="43A29246" w14:textId="77777777" w:rsidR="0056300B" w:rsidRPr="00D65578" w:rsidRDefault="0056300B" w:rsidP="00D65578"/>
    <w:p w14:paraId="79A6DF86" w14:textId="6A74742C" w:rsidR="001D505A" w:rsidRPr="00E83B17" w:rsidRDefault="001D505A" w:rsidP="009215B1">
      <w:pPr>
        <w:autoSpaceDE w:val="0"/>
        <w:autoSpaceDN w:val="0"/>
        <w:adjustRightInd w:val="0"/>
        <w:spacing w:after="120" w:line="280" w:lineRule="atLeast"/>
        <w:rPr>
          <w:rFonts w:cs="Arial"/>
        </w:rPr>
      </w:pPr>
      <w:r w:rsidRPr="00E83B17">
        <w:rPr>
          <w:rFonts w:cs="Arial"/>
          <w:color w:val="auto"/>
        </w:rPr>
        <w:t xml:space="preserve">Der CCF wurde erstellt mit Unterstützung von Dana Vogel Sustainability Consulting und </w:t>
      </w:r>
      <w:r w:rsidRPr="00E83B17">
        <w:rPr>
          <w:rFonts w:cs="Arial"/>
        </w:rPr>
        <w:t xml:space="preserve">PRIMAKLIMA </w:t>
      </w:r>
      <w:r w:rsidR="00C46AD1" w:rsidRPr="00E83B17">
        <w:rPr>
          <w:rFonts w:cs="Arial"/>
        </w:rPr>
        <w:t>e.V.</w:t>
      </w:r>
      <w:r w:rsidRPr="00E83B17">
        <w:rPr>
          <w:rFonts w:cs="Arial"/>
        </w:rPr>
        <w:t xml:space="preserve"> </w:t>
      </w:r>
    </w:p>
    <w:p w14:paraId="6F59141D" w14:textId="707312EA" w:rsidR="001D505A" w:rsidRPr="00234AE8" w:rsidRDefault="001D505A" w:rsidP="009215B1">
      <w:pPr>
        <w:autoSpaceDE w:val="0"/>
        <w:autoSpaceDN w:val="0"/>
        <w:adjustRightInd w:val="0"/>
        <w:spacing w:after="120" w:line="280" w:lineRule="atLeast"/>
        <w:rPr>
          <w:rFonts w:cs="Arial"/>
        </w:rPr>
      </w:pPr>
      <w:r w:rsidRPr="00234AE8">
        <w:rPr>
          <w:rFonts w:cs="Arial"/>
        </w:rPr>
        <w:t>Die Kompensation der CO</w:t>
      </w:r>
      <w:r w:rsidRPr="00234AE8">
        <w:rPr>
          <w:rFonts w:cs="Arial"/>
          <w:vertAlign w:val="subscript"/>
        </w:rPr>
        <w:t>2</w:t>
      </w:r>
      <w:r w:rsidR="00C46AD1" w:rsidRPr="00234AE8">
        <w:rPr>
          <w:rFonts w:cs="Arial"/>
        </w:rPr>
        <w:t>e-</w:t>
      </w:r>
      <w:r w:rsidRPr="00234AE8">
        <w:rPr>
          <w:rFonts w:cs="Arial"/>
        </w:rPr>
        <w:t xml:space="preserve">Emissionen erfolgt über PRIMAKLIMA e.V.. Das Klimaschutzprojekt, </w:t>
      </w:r>
      <w:r w:rsidR="00AC0B61" w:rsidRPr="00234AE8">
        <w:rPr>
          <w:rFonts w:cs="Arial"/>
        </w:rPr>
        <w:t xml:space="preserve">entwickelt nach den </w:t>
      </w:r>
      <w:r w:rsidRPr="00234AE8">
        <w:rPr>
          <w:rFonts w:cs="Arial"/>
        </w:rPr>
        <w:t>Projektstandards</w:t>
      </w:r>
      <w:r w:rsidR="00AC0B61" w:rsidRPr="00234AE8">
        <w:rPr>
          <w:rFonts w:cs="Arial"/>
        </w:rPr>
        <w:t xml:space="preserve"> </w:t>
      </w:r>
      <w:r w:rsidR="00AC0B61" w:rsidRPr="00D65578">
        <w:rPr>
          <w:rFonts w:cs="Arial"/>
          <w:i/>
          <w:iCs/>
        </w:rPr>
        <w:t>Verified Carbon Standard</w:t>
      </w:r>
      <w:r w:rsidRPr="00234AE8">
        <w:rPr>
          <w:rFonts w:cs="Arial"/>
        </w:rPr>
        <w:t xml:space="preserve"> </w:t>
      </w:r>
      <w:r w:rsidR="00AC0B61" w:rsidRPr="00234AE8">
        <w:rPr>
          <w:rFonts w:cs="Arial"/>
        </w:rPr>
        <w:t>(</w:t>
      </w:r>
      <w:r w:rsidRPr="00234AE8">
        <w:rPr>
          <w:rFonts w:cs="Arial"/>
        </w:rPr>
        <w:t>VCS</w:t>
      </w:r>
      <w:r w:rsidR="00AC0B61" w:rsidRPr="00234AE8">
        <w:rPr>
          <w:rFonts w:cs="Arial"/>
        </w:rPr>
        <w:t>)</w:t>
      </w:r>
      <w:r w:rsidRPr="00234AE8">
        <w:rPr>
          <w:rFonts w:cs="Arial"/>
        </w:rPr>
        <w:t xml:space="preserve"> und</w:t>
      </w:r>
      <w:r w:rsidR="00AC0B61" w:rsidRPr="00234AE8">
        <w:rPr>
          <w:rFonts w:cs="Arial"/>
        </w:rPr>
        <w:t xml:space="preserve"> </w:t>
      </w:r>
      <w:r w:rsidR="00AC0B61" w:rsidRPr="00D65578">
        <w:rPr>
          <w:rFonts w:cs="Arial"/>
          <w:i/>
          <w:iCs/>
        </w:rPr>
        <w:t>Climate, Community and</w:t>
      </w:r>
      <w:r w:rsidR="00AC0B61" w:rsidRPr="00234AE8">
        <w:rPr>
          <w:rFonts w:cs="Arial"/>
        </w:rPr>
        <w:t xml:space="preserve"> </w:t>
      </w:r>
      <w:r w:rsidR="00AC0B61" w:rsidRPr="00D65578">
        <w:rPr>
          <w:rFonts w:cs="Arial"/>
          <w:i/>
          <w:iCs/>
        </w:rPr>
        <w:t>Biodiversity Standard</w:t>
      </w:r>
      <w:r w:rsidR="00FC30F2">
        <w:rPr>
          <w:rFonts w:cs="Arial"/>
          <w:i/>
          <w:iCs/>
        </w:rPr>
        <w:t>s</w:t>
      </w:r>
      <w:r w:rsidR="00AC0B61" w:rsidRPr="00D65578">
        <w:rPr>
          <w:rFonts w:cs="Arial"/>
          <w:i/>
          <w:iCs/>
        </w:rPr>
        <w:t xml:space="preserve"> </w:t>
      </w:r>
      <w:r w:rsidR="00AC0B61" w:rsidRPr="00234AE8">
        <w:rPr>
          <w:rFonts w:cs="Arial"/>
        </w:rPr>
        <w:t>(</w:t>
      </w:r>
      <w:r w:rsidRPr="00234AE8">
        <w:rPr>
          <w:rFonts w:cs="Arial"/>
        </w:rPr>
        <w:t>CCB</w:t>
      </w:r>
      <w:r w:rsidR="00FC30F2">
        <w:rPr>
          <w:rFonts w:cs="Arial"/>
        </w:rPr>
        <w:t>S</w:t>
      </w:r>
      <w:r w:rsidR="00AC0B61" w:rsidRPr="00234AE8">
        <w:rPr>
          <w:rFonts w:cs="Arial"/>
        </w:rPr>
        <w:t>)</w:t>
      </w:r>
      <w:r w:rsidRPr="00234AE8">
        <w:rPr>
          <w:rFonts w:cs="Arial"/>
        </w:rPr>
        <w:t>,</w:t>
      </w:r>
      <w:r w:rsidR="00234AE8" w:rsidRPr="00D65578">
        <w:rPr>
          <w:rFonts w:cs="Arial"/>
        </w:rPr>
        <w:t xml:space="preserve"> gehört zum Projekttyp REDD und Waldschutz. Die Abholzung von Tropenwald wird mit diesem Projekt verhindert</w:t>
      </w:r>
      <w:r w:rsidRPr="00234AE8">
        <w:rPr>
          <w:rFonts w:cs="Arial"/>
        </w:rPr>
        <w:t>. Mehr</w:t>
      </w:r>
      <w:r w:rsidR="00C46AD1" w:rsidRPr="00234AE8">
        <w:rPr>
          <w:rFonts w:cs="Arial"/>
        </w:rPr>
        <w:t xml:space="preserve"> über das Projekt findet sich auf www.kde-kurier.de</w:t>
      </w:r>
    </w:p>
    <w:p w14:paraId="4CC34666" w14:textId="0FFE6C5C" w:rsidR="001D505A" w:rsidRPr="00E83B17" w:rsidRDefault="00D53804" w:rsidP="009215B1">
      <w:pPr>
        <w:autoSpaceDE w:val="0"/>
        <w:autoSpaceDN w:val="0"/>
        <w:adjustRightInd w:val="0"/>
        <w:spacing w:after="120" w:line="280" w:lineRule="atLeast"/>
        <w:rPr>
          <w:rFonts w:cs="Arial"/>
          <w:color w:val="FF0000"/>
        </w:rPr>
      </w:pPr>
      <w:r w:rsidRPr="00234AE8">
        <w:rPr>
          <w:rFonts w:cs="Arial"/>
        </w:rPr>
        <w:t>Die in diesem Bericht genannten</w:t>
      </w:r>
      <w:r w:rsidRPr="00E83B17">
        <w:rPr>
          <w:rFonts w:cs="Arial"/>
        </w:rPr>
        <w:t xml:space="preserve"> Emissionsquell</w:t>
      </w:r>
      <w:r w:rsidR="001963AD" w:rsidRPr="00E83B17">
        <w:rPr>
          <w:rFonts w:cs="Arial"/>
        </w:rPr>
        <w:t>en beinhalten direkte und indirekte Emissionen</w:t>
      </w:r>
      <w:r w:rsidRPr="00E83B17">
        <w:rPr>
          <w:rFonts w:cs="Arial"/>
        </w:rPr>
        <w:t xml:space="preserve"> von</w:t>
      </w:r>
      <w:r w:rsidR="00BA77E6" w:rsidRPr="00E83B17">
        <w:rPr>
          <w:rFonts w:cs="Arial"/>
        </w:rPr>
        <w:t xml:space="preserve"> KDE</w:t>
      </w:r>
      <w:r w:rsidR="001963AD" w:rsidRPr="00E83B17">
        <w:rPr>
          <w:rFonts w:cs="Arial"/>
          <w:color w:val="FF0000"/>
        </w:rPr>
        <w:t xml:space="preserve">. </w:t>
      </w:r>
    </w:p>
    <w:p w14:paraId="4985091B" w14:textId="3CD178C8" w:rsidR="001D505A" w:rsidRPr="00E83B17" w:rsidRDefault="00D66D6E" w:rsidP="009215B1">
      <w:pPr>
        <w:autoSpaceDE w:val="0"/>
        <w:autoSpaceDN w:val="0"/>
        <w:adjustRightInd w:val="0"/>
        <w:spacing w:after="120" w:line="280" w:lineRule="atLeast"/>
        <w:rPr>
          <w:rFonts w:cs="Arial"/>
        </w:rPr>
      </w:pPr>
      <w:r w:rsidRPr="00E83B17">
        <w:rPr>
          <w:rFonts w:cs="Arial"/>
        </w:rPr>
        <w:t xml:space="preserve">Direkte Emissionen </w:t>
      </w:r>
      <w:r w:rsidR="00C46AD1" w:rsidRPr="00E83B17">
        <w:rPr>
          <w:rFonts w:cs="Arial"/>
        </w:rPr>
        <w:t>umfassen</w:t>
      </w:r>
      <w:r w:rsidRPr="00E83B17">
        <w:rPr>
          <w:rFonts w:cs="Arial"/>
        </w:rPr>
        <w:t xml:space="preserve"> Emissionen</w:t>
      </w:r>
      <w:r w:rsidR="004A76A6" w:rsidRPr="00E83B17">
        <w:rPr>
          <w:rFonts w:cs="Arial"/>
        </w:rPr>
        <w:t>,</w:t>
      </w:r>
      <w:r w:rsidR="001963AD" w:rsidRPr="00E83B17">
        <w:rPr>
          <w:rFonts w:cs="Arial"/>
        </w:rPr>
        <w:t xml:space="preserve"> die</w:t>
      </w:r>
      <w:r w:rsidR="001963AD" w:rsidRPr="00E83B17">
        <w:rPr>
          <w:rFonts w:cs="Arial"/>
          <w:color w:val="FF0000"/>
        </w:rPr>
        <w:t xml:space="preserve"> </w:t>
      </w:r>
      <w:r w:rsidRPr="00E83B17">
        <w:rPr>
          <w:rFonts w:cs="Arial"/>
        </w:rPr>
        <w:t>durch Verbrennungsprozesse</w:t>
      </w:r>
      <w:r w:rsidR="001963AD" w:rsidRPr="00E83B17">
        <w:rPr>
          <w:rFonts w:cs="Arial"/>
        </w:rPr>
        <w:t xml:space="preserve"> aus</w:t>
      </w:r>
      <w:r w:rsidR="00D53804" w:rsidRPr="00E83B17">
        <w:rPr>
          <w:rFonts w:cs="Arial"/>
        </w:rPr>
        <w:t xml:space="preserve"> </w:t>
      </w:r>
      <w:r w:rsidR="001963AD" w:rsidRPr="00E83B17">
        <w:rPr>
          <w:rFonts w:cs="Arial"/>
        </w:rPr>
        <w:t xml:space="preserve">eigenen </w:t>
      </w:r>
      <w:r w:rsidRPr="00E83B17">
        <w:rPr>
          <w:rFonts w:cs="Arial"/>
        </w:rPr>
        <w:t>mobilen oder stationären Anlagen entstanden sind</w:t>
      </w:r>
      <w:r w:rsidR="001963AD" w:rsidRPr="00E83B17">
        <w:rPr>
          <w:rFonts w:cs="Arial"/>
        </w:rPr>
        <w:t xml:space="preserve"> </w:t>
      </w:r>
      <w:r w:rsidRPr="00E83B17">
        <w:rPr>
          <w:rFonts w:cs="Arial"/>
        </w:rPr>
        <w:t xml:space="preserve">(Scope 1). </w:t>
      </w:r>
    </w:p>
    <w:p w14:paraId="076F8C75" w14:textId="3AE6028E" w:rsidR="00C46AD1" w:rsidRPr="00E83B17" w:rsidRDefault="00D66D6E" w:rsidP="009215B1">
      <w:pPr>
        <w:autoSpaceDE w:val="0"/>
        <w:autoSpaceDN w:val="0"/>
        <w:adjustRightInd w:val="0"/>
        <w:spacing w:after="120" w:line="280" w:lineRule="atLeast"/>
        <w:rPr>
          <w:rFonts w:cs="Arial"/>
        </w:rPr>
      </w:pPr>
      <w:r w:rsidRPr="00E83B17">
        <w:rPr>
          <w:rFonts w:cs="Arial"/>
        </w:rPr>
        <w:t>Indirekte Emissionen</w:t>
      </w:r>
      <w:r w:rsidR="004A76A6" w:rsidRPr="00E83B17">
        <w:rPr>
          <w:rFonts w:cs="Arial"/>
        </w:rPr>
        <w:t>,</w:t>
      </w:r>
      <w:r w:rsidRPr="00E83B17">
        <w:rPr>
          <w:rFonts w:cs="Arial"/>
        </w:rPr>
        <w:t xml:space="preserve"> die durch</w:t>
      </w:r>
      <w:r w:rsidR="00C46AD1" w:rsidRPr="00E83B17">
        <w:rPr>
          <w:rFonts w:cs="Arial"/>
        </w:rPr>
        <w:t xml:space="preserve"> </w:t>
      </w:r>
      <w:r w:rsidRPr="00E83B17">
        <w:rPr>
          <w:rFonts w:cs="Arial"/>
        </w:rPr>
        <w:t>eingekaufte</w:t>
      </w:r>
      <w:r w:rsidR="00C46AD1" w:rsidRPr="00E83B17">
        <w:rPr>
          <w:rFonts w:cs="Arial"/>
        </w:rPr>
        <w:t>n</w:t>
      </w:r>
      <w:r w:rsidRPr="00E83B17">
        <w:rPr>
          <w:rFonts w:cs="Arial"/>
        </w:rPr>
        <w:t xml:space="preserve"> Strom</w:t>
      </w:r>
      <w:r w:rsidR="00B37175" w:rsidRPr="00E83B17">
        <w:rPr>
          <w:rFonts w:cs="Arial"/>
        </w:rPr>
        <w:t xml:space="preserve"> oder </w:t>
      </w:r>
      <w:r w:rsidR="00797F06" w:rsidRPr="00E83B17">
        <w:rPr>
          <w:rFonts w:cs="Arial"/>
        </w:rPr>
        <w:t>Wärme</w:t>
      </w:r>
      <w:r w:rsidRPr="00E83B17">
        <w:rPr>
          <w:rFonts w:cs="Arial"/>
        </w:rPr>
        <w:t xml:space="preserve"> </w:t>
      </w:r>
      <w:r w:rsidR="00797F06" w:rsidRPr="00E83B17">
        <w:rPr>
          <w:rFonts w:cs="Arial"/>
        </w:rPr>
        <w:t xml:space="preserve">(Scope 2) </w:t>
      </w:r>
      <w:r w:rsidRPr="00E83B17">
        <w:rPr>
          <w:rFonts w:cs="Arial"/>
        </w:rPr>
        <w:t>entstehen</w:t>
      </w:r>
      <w:r w:rsidR="00AC1463" w:rsidRPr="00E83B17">
        <w:rPr>
          <w:rFonts w:cs="Arial"/>
        </w:rPr>
        <w:t>,</w:t>
      </w:r>
      <w:r w:rsidRPr="00E83B17">
        <w:rPr>
          <w:rFonts w:cs="Arial"/>
        </w:rPr>
        <w:t xml:space="preserve"> </w:t>
      </w:r>
      <w:r w:rsidR="00797F06" w:rsidRPr="00E83B17">
        <w:rPr>
          <w:rFonts w:cs="Arial"/>
        </w:rPr>
        <w:t>werden ebenfalls aufgeführt</w:t>
      </w:r>
      <w:r w:rsidRPr="00E83B17">
        <w:rPr>
          <w:rFonts w:cs="Arial"/>
        </w:rPr>
        <w:t xml:space="preserve">. </w:t>
      </w:r>
    </w:p>
    <w:p w14:paraId="4BEF0210" w14:textId="24791B53" w:rsidR="00AC1463" w:rsidRPr="00E83B17" w:rsidRDefault="00D66D6E" w:rsidP="009215B1">
      <w:pPr>
        <w:autoSpaceDE w:val="0"/>
        <w:autoSpaceDN w:val="0"/>
        <w:adjustRightInd w:val="0"/>
        <w:spacing w:after="120" w:line="280" w:lineRule="atLeast"/>
        <w:rPr>
          <w:rFonts w:cs="Arial"/>
        </w:rPr>
      </w:pPr>
      <w:r w:rsidRPr="00E83B17">
        <w:rPr>
          <w:rFonts w:cs="Arial"/>
        </w:rPr>
        <w:t>A</w:t>
      </w:r>
      <w:r w:rsidR="006C2BAD" w:rsidRPr="00E83B17">
        <w:rPr>
          <w:rFonts w:cs="Arial"/>
        </w:rPr>
        <w:t xml:space="preserve">usgewählte </w:t>
      </w:r>
      <w:r w:rsidR="00AC1463" w:rsidRPr="00E83B17">
        <w:rPr>
          <w:rFonts w:cs="Arial"/>
        </w:rPr>
        <w:t xml:space="preserve">relevante </w:t>
      </w:r>
      <w:r w:rsidR="006C2BAD" w:rsidRPr="00E83B17">
        <w:rPr>
          <w:rFonts w:cs="Arial"/>
        </w:rPr>
        <w:t>indirekte Emissionen</w:t>
      </w:r>
      <w:r w:rsidRPr="00E83B17">
        <w:rPr>
          <w:rFonts w:cs="Arial"/>
        </w:rPr>
        <w:t xml:space="preserve"> entlang der Wertschöpfungskette</w:t>
      </w:r>
      <w:r w:rsidR="00AC1463" w:rsidRPr="00E83B17">
        <w:rPr>
          <w:rFonts w:cs="Arial"/>
        </w:rPr>
        <w:t xml:space="preserve"> werden ebenfalls berichtet (Scope 3)</w:t>
      </w:r>
      <w:r w:rsidR="00B37175" w:rsidRPr="00E83B17">
        <w:rPr>
          <w:rFonts w:cs="Arial"/>
        </w:rPr>
        <w:t>, insbesondere die Emissionen der Transportleistungen</w:t>
      </w:r>
      <w:r w:rsidR="00E92E62" w:rsidRPr="00E83B17">
        <w:rPr>
          <w:rFonts w:cs="Arial"/>
        </w:rPr>
        <w:t xml:space="preserve"> von Partnerunternehmen</w:t>
      </w:r>
      <w:r w:rsidR="00AC1463" w:rsidRPr="00E83B17">
        <w:rPr>
          <w:rFonts w:cs="Arial"/>
        </w:rPr>
        <w:t>.</w:t>
      </w:r>
      <w:r w:rsidR="00FD6021">
        <w:rPr>
          <w:rFonts w:cs="Arial"/>
        </w:rPr>
        <w:t xml:space="preserve"> </w:t>
      </w:r>
    </w:p>
    <w:p w14:paraId="142BF689" w14:textId="6FB600FC" w:rsidR="00AC1463" w:rsidRDefault="00AC1463" w:rsidP="009215B1">
      <w:pPr>
        <w:autoSpaceDE w:val="0"/>
        <w:autoSpaceDN w:val="0"/>
        <w:adjustRightInd w:val="0"/>
        <w:spacing w:after="120" w:line="280" w:lineRule="atLeast"/>
        <w:rPr>
          <w:rFonts w:cs="Arial"/>
        </w:rPr>
      </w:pPr>
      <w:r w:rsidRPr="00E83B17">
        <w:rPr>
          <w:rFonts w:cs="Arial"/>
        </w:rPr>
        <w:t>Dieser Corporate Carbon Footprint Bericht entspricht den Anforderungen des „Gree</w:t>
      </w:r>
      <w:r w:rsidR="00C46AD1" w:rsidRPr="00E83B17">
        <w:rPr>
          <w:rFonts w:cs="Arial"/>
        </w:rPr>
        <w:t>n</w:t>
      </w:r>
      <w:r w:rsidRPr="00E83B17">
        <w:rPr>
          <w:rFonts w:cs="Arial"/>
        </w:rPr>
        <w:t>house Gas Protocol - Corporate Standard“</w:t>
      </w:r>
      <w:r w:rsidR="004A76A6" w:rsidRPr="00E83B17">
        <w:rPr>
          <w:rFonts w:cs="Arial"/>
        </w:rPr>
        <w:t>,</w:t>
      </w:r>
      <w:r w:rsidRPr="00E83B17">
        <w:rPr>
          <w:rFonts w:cs="Arial"/>
        </w:rPr>
        <w:t xml:space="preserve"> dem meist genutzten internationalen Standard für die Emissionsberechnung und Berichterstattung. Das „</w:t>
      </w:r>
      <w:r w:rsidR="006C2BAD" w:rsidRPr="00E83B17">
        <w:rPr>
          <w:rFonts w:cs="Arial"/>
        </w:rPr>
        <w:t>GHG Proto</w:t>
      </w:r>
      <w:r w:rsidRPr="00E83B17">
        <w:rPr>
          <w:rFonts w:cs="Arial"/>
        </w:rPr>
        <w:t>col“</w:t>
      </w:r>
      <w:r w:rsidR="006C2BAD" w:rsidRPr="00E83B17">
        <w:rPr>
          <w:rFonts w:cs="Arial"/>
        </w:rPr>
        <w:t xml:space="preserve"> </w:t>
      </w:r>
      <w:r w:rsidR="009B2D98" w:rsidRPr="00E83B17">
        <w:rPr>
          <w:rFonts w:cs="Arial"/>
        </w:rPr>
        <w:t xml:space="preserve">fordert die Berichterstattung über </w:t>
      </w:r>
      <w:r w:rsidR="006C2BAD" w:rsidRPr="00E83B17">
        <w:rPr>
          <w:rFonts w:cs="Arial"/>
        </w:rPr>
        <w:t>direkte</w:t>
      </w:r>
      <w:r w:rsidR="009B2D98" w:rsidRPr="00E83B17">
        <w:rPr>
          <w:rFonts w:cs="Arial"/>
        </w:rPr>
        <w:t xml:space="preserve"> (Scope 1)</w:t>
      </w:r>
      <w:r w:rsidR="006C2BAD" w:rsidRPr="00E83B17">
        <w:rPr>
          <w:rFonts w:cs="Arial"/>
        </w:rPr>
        <w:t xml:space="preserve"> als auch indirekte Emissionen </w:t>
      </w:r>
      <w:r w:rsidR="009B2D98" w:rsidRPr="00E83B17">
        <w:rPr>
          <w:rFonts w:cs="Arial"/>
        </w:rPr>
        <w:t>(Scope 2)</w:t>
      </w:r>
      <w:r w:rsidR="006C2BAD" w:rsidRPr="00E83B17">
        <w:rPr>
          <w:rFonts w:cs="Arial"/>
        </w:rPr>
        <w:t xml:space="preserve">. </w:t>
      </w:r>
      <w:r w:rsidR="00BC07DC" w:rsidRPr="00E83B17">
        <w:rPr>
          <w:rFonts w:cs="Arial"/>
        </w:rPr>
        <w:t xml:space="preserve">Alle </w:t>
      </w:r>
      <w:r w:rsidRPr="00E83B17">
        <w:rPr>
          <w:rFonts w:cs="Arial"/>
        </w:rPr>
        <w:t>weiteren indirekten</w:t>
      </w:r>
      <w:r w:rsidR="00BC07DC" w:rsidRPr="00E83B17">
        <w:rPr>
          <w:rFonts w:cs="Arial"/>
        </w:rPr>
        <w:t xml:space="preserve"> Emissionen (Scope 3) </w:t>
      </w:r>
      <w:r w:rsidR="009B2D98" w:rsidRPr="00E83B17">
        <w:rPr>
          <w:rFonts w:cs="Arial"/>
        </w:rPr>
        <w:t xml:space="preserve">werden je nach </w:t>
      </w:r>
      <w:r w:rsidRPr="00E83B17">
        <w:rPr>
          <w:rFonts w:cs="Arial"/>
        </w:rPr>
        <w:t xml:space="preserve">Relevanz und </w:t>
      </w:r>
      <w:r w:rsidR="009B2D98" w:rsidRPr="00E83B17">
        <w:rPr>
          <w:rFonts w:cs="Arial"/>
        </w:rPr>
        <w:t>Datenverfügbarkeit</w:t>
      </w:r>
      <w:r w:rsidRPr="00E83B17">
        <w:rPr>
          <w:rFonts w:cs="Arial"/>
        </w:rPr>
        <w:t xml:space="preserve"> </w:t>
      </w:r>
      <w:r w:rsidR="00657945" w:rsidRPr="00E83B17">
        <w:rPr>
          <w:rFonts w:cs="Arial"/>
        </w:rPr>
        <w:t xml:space="preserve">ebenfalls </w:t>
      </w:r>
      <w:r w:rsidRPr="00E83B17">
        <w:rPr>
          <w:rFonts w:cs="Arial"/>
        </w:rPr>
        <w:t xml:space="preserve">berichtet, entsprechend dem „Corporate </w:t>
      </w:r>
      <w:r w:rsidR="004A76A6" w:rsidRPr="00E83B17">
        <w:rPr>
          <w:rFonts w:cs="Arial"/>
        </w:rPr>
        <w:t xml:space="preserve">Value Chain </w:t>
      </w:r>
      <w:r w:rsidRPr="00E83B17">
        <w:rPr>
          <w:rFonts w:cs="Arial"/>
        </w:rPr>
        <w:t>(</w:t>
      </w:r>
      <w:r w:rsidR="004A76A6" w:rsidRPr="00E83B17">
        <w:rPr>
          <w:rFonts w:cs="Arial"/>
        </w:rPr>
        <w:t xml:space="preserve">Scope </w:t>
      </w:r>
      <w:r w:rsidRPr="00E83B17">
        <w:rPr>
          <w:rFonts w:cs="Arial"/>
        </w:rPr>
        <w:t>3) Standard</w:t>
      </w:r>
      <w:r w:rsidR="00646017" w:rsidRPr="00E83B17">
        <w:rPr>
          <w:rFonts w:cs="Arial"/>
        </w:rPr>
        <w:t>“</w:t>
      </w:r>
      <w:r w:rsidRPr="00E83B17">
        <w:rPr>
          <w:rFonts w:cs="Arial"/>
        </w:rPr>
        <w:t xml:space="preserve"> des GHG Protocol. </w:t>
      </w:r>
    </w:p>
    <w:p w14:paraId="24409DEB" w14:textId="111B6241" w:rsidR="00973942" w:rsidRPr="00E83B17" w:rsidRDefault="00BA77E6" w:rsidP="009215B1">
      <w:pPr>
        <w:autoSpaceDE w:val="0"/>
        <w:autoSpaceDN w:val="0"/>
        <w:adjustRightInd w:val="0"/>
        <w:spacing w:line="280" w:lineRule="atLeast"/>
        <w:rPr>
          <w:rFonts w:cs="Arial"/>
        </w:rPr>
      </w:pPr>
      <w:r w:rsidRPr="00E83B17">
        <w:rPr>
          <w:rFonts w:cs="Arial"/>
          <w:iCs/>
          <w:color w:val="auto"/>
        </w:rPr>
        <w:t xml:space="preserve">KDE </w:t>
      </w:r>
      <w:r w:rsidR="00C52291" w:rsidRPr="00E83B17">
        <w:rPr>
          <w:rFonts w:cs="Arial"/>
          <w:iCs/>
        </w:rPr>
        <w:t xml:space="preserve">hat alle Anstrengungen unternommen, um die Genauigkeit </w:t>
      </w:r>
      <w:r w:rsidR="00657945" w:rsidRPr="00E83B17">
        <w:rPr>
          <w:rFonts w:cs="Arial"/>
          <w:iCs/>
        </w:rPr>
        <w:t xml:space="preserve">und Repräsentativität </w:t>
      </w:r>
      <w:r w:rsidR="00C52291" w:rsidRPr="00E83B17">
        <w:rPr>
          <w:rFonts w:cs="Arial"/>
          <w:iCs/>
        </w:rPr>
        <w:t>dieses Berichts zu gewährleisten.</w:t>
      </w:r>
    </w:p>
    <w:p w14:paraId="5DF70E25" w14:textId="77777777" w:rsidR="00973942" w:rsidRPr="00E83B17" w:rsidRDefault="00973942" w:rsidP="009215B1">
      <w:pPr>
        <w:autoSpaceDE w:val="0"/>
        <w:autoSpaceDN w:val="0"/>
        <w:adjustRightInd w:val="0"/>
        <w:spacing w:line="280" w:lineRule="atLeast"/>
        <w:rPr>
          <w:rFonts w:cs="Arial"/>
        </w:rPr>
      </w:pPr>
    </w:p>
    <w:p w14:paraId="69E6901C" w14:textId="77777777" w:rsidR="00973942" w:rsidRPr="00E83B17" w:rsidRDefault="00973942" w:rsidP="009215B1">
      <w:pPr>
        <w:autoSpaceDE w:val="0"/>
        <w:autoSpaceDN w:val="0"/>
        <w:adjustRightInd w:val="0"/>
        <w:spacing w:line="280" w:lineRule="atLeast"/>
        <w:rPr>
          <w:rFonts w:cs="Arial"/>
        </w:rPr>
      </w:pPr>
    </w:p>
    <w:p w14:paraId="16E4B647" w14:textId="77777777" w:rsidR="00973942" w:rsidRPr="00E83B17" w:rsidRDefault="00973942" w:rsidP="009215B1">
      <w:pPr>
        <w:autoSpaceDE w:val="0"/>
        <w:autoSpaceDN w:val="0"/>
        <w:adjustRightInd w:val="0"/>
        <w:spacing w:line="280" w:lineRule="atLeast"/>
        <w:rPr>
          <w:rFonts w:cs="Arial"/>
        </w:rPr>
      </w:pPr>
    </w:p>
    <w:p w14:paraId="06923392" w14:textId="0567B119" w:rsidR="00973942" w:rsidRPr="00E83B17" w:rsidRDefault="00C52291" w:rsidP="009215B1">
      <w:pPr>
        <w:spacing w:line="280" w:lineRule="atLeast"/>
        <w:jc w:val="left"/>
        <w:rPr>
          <w:rFonts w:cs="Arial"/>
          <w:b/>
        </w:rPr>
      </w:pPr>
      <w:r w:rsidRPr="00E83B17">
        <w:rPr>
          <w:rFonts w:cs="Arial"/>
          <w:b/>
        </w:rPr>
        <w:br w:type="page"/>
      </w:r>
    </w:p>
    <w:p w14:paraId="7283DEBF" w14:textId="77777777" w:rsidR="000152FC" w:rsidRPr="00E83B17" w:rsidRDefault="000152FC" w:rsidP="002422AE">
      <w:pPr>
        <w:pStyle w:val="berschrift1"/>
      </w:pPr>
      <w:bookmarkStart w:id="5" w:name="_Toc73110761"/>
      <w:bookmarkStart w:id="6" w:name="_Toc135811102"/>
      <w:r w:rsidRPr="00E83B17">
        <w:t>Über KDE</w:t>
      </w:r>
      <w:bookmarkEnd w:id="5"/>
      <w:bookmarkEnd w:id="6"/>
      <w:r w:rsidRPr="00E83B17">
        <w:t xml:space="preserve"> </w:t>
      </w:r>
    </w:p>
    <w:p w14:paraId="3EF99E8A" w14:textId="5E30074F" w:rsidR="00973942" w:rsidRPr="00E83B17" w:rsidRDefault="000B0E12" w:rsidP="0049297C">
      <w:pPr>
        <w:pStyle w:val="berschrift2"/>
        <w:spacing w:after="160" w:line="280" w:lineRule="atLeast"/>
        <w:ind w:left="578" w:hanging="578"/>
      </w:pPr>
      <w:bookmarkStart w:id="7" w:name="_Toc73110762"/>
      <w:bookmarkStart w:id="8" w:name="_Toc135811103"/>
      <w:r w:rsidRPr="00E83B17">
        <w:t>Firmenbeschreibung</w:t>
      </w:r>
      <w:bookmarkEnd w:id="7"/>
      <w:bookmarkEnd w:id="8"/>
    </w:p>
    <w:p w14:paraId="559F1A32" w14:textId="0B4BBE2C" w:rsidR="005C1C98" w:rsidRPr="00E83B17" w:rsidRDefault="001D505A" w:rsidP="009215B1">
      <w:pPr>
        <w:autoSpaceDE w:val="0"/>
        <w:autoSpaceDN w:val="0"/>
        <w:adjustRightInd w:val="0"/>
        <w:spacing w:after="120" w:line="280" w:lineRule="atLeast"/>
        <w:rPr>
          <w:rFonts w:cs="Arial"/>
          <w:color w:val="auto"/>
        </w:rPr>
      </w:pPr>
      <w:r w:rsidRPr="00E83B17">
        <w:rPr>
          <w:rFonts w:cs="Arial"/>
          <w:color w:val="auto"/>
        </w:rPr>
        <w:t>Die KDE Transport GmbH wurde</w:t>
      </w:r>
      <w:r w:rsidR="00BA77E6" w:rsidRPr="00E83B17">
        <w:rPr>
          <w:rFonts w:cs="Arial"/>
          <w:color w:val="auto"/>
        </w:rPr>
        <w:t xml:space="preserve"> 1991</w:t>
      </w:r>
      <w:r w:rsidRPr="00E83B17">
        <w:rPr>
          <w:rFonts w:cs="Arial"/>
          <w:color w:val="auto"/>
        </w:rPr>
        <w:t xml:space="preserve"> gegründet und ist </w:t>
      </w:r>
      <w:r w:rsidR="00BA77E6" w:rsidRPr="00E83B17">
        <w:rPr>
          <w:rFonts w:cs="Arial"/>
          <w:color w:val="auto"/>
        </w:rPr>
        <w:t>ein Unternehmen der KEP</w:t>
      </w:r>
      <w:r w:rsidR="00464EDA" w:rsidRPr="00E83B17">
        <w:rPr>
          <w:rFonts w:cs="Arial"/>
          <w:color w:val="auto"/>
        </w:rPr>
        <w:t>-</w:t>
      </w:r>
      <w:r w:rsidR="00BA77E6" w:rsidRPr="00E83B17">
        <w:rPr>
          <w:rFonts w:cs="Arial"/>
          <w:color w:val="auto"/>
        </w:rPr>
        <w:t xml:space="preserve">Branche. </w:t>
      </w:r>
      <w:r w:rsidR="00C46AD1" w:rsidRPr="00E83B17">
        <w:rPr>
          <w:rFonts w:cs="Arial"/>
          <w:color w:val="auto"/>
        </w:rPr>
        <w:t xml:space="preserve">KDE führt </w:t>
      </w:r>
      <w:r w:rsidR="00BA77E6" w:rsidRPr="00E83B17">
        <w:rPr>
          <w:rFonts w:cs="Arial"/>
          <w:color w:val="auto"/>
        </w:rPr>
        <w:t xml:space="preserve">europaweite Direktfahrten durch mit kurzen Reaktionszeiten und hohen Serviceansprüchen. </w:t>
      </w:r>
      <w:r w:rsidR="005C1C98" w:rsidRPr="00E83B17">
        <w:rPr>
          <w:rFonts w:cs="Arial"/>
          <w:color w:val="auto"/>
        </w:rPr>
        <w:t>Die Beauftragung erfolgt kurzfristig und ist nicht planbar, die Zustellung stets zeitkritisch.</w:t>
      </w:r>
    </w:p>
    <w:p w14:paraId="0C80B60C" w14:textId="1C46F9F1" w:rsidR="00973942" w:rsidRPr="00E83B17" w:rsidRDefault="00BA77E6" w:rsidP="009215B1">
      <w:pPr>
        <w:autoSpaceDE w:val="0"/>
        <w:autoSpaceDN w:val="0"/>
        <w:adjustRightInd w:val="0"/>
        <w:spacing w:after="120" w:line="280" w:lineRule="atLeast"/>
        <w:rPr>
          <w:rFonts w:cs="Arial"/>
          <w:color w:val="auto"/>
        </w:rPr>
      </w:pPr>
      <w:r w:rsidRPr="00E83B17">
        <w:rPr>
          <w:rFonts w:cs="Arial"/>
          <w:color w:val="auto"/>
        </w:rPr>
        <w:t>Darüber hinaus versende</w:t>
      </w:r>
      <w:r w:rsidR="00C46AD1" w:rsidRPr="00E83B17">
        <w:rPr>
          <w:rFonts w:cs="Arial"/>
          <w:color w:val="auto"/>
        </w:rPr>
        <w:t xml:space="preserve">t KDE </w:t>
      </w:r>
      <w:r w:rsidRPr="00E83B17">
        <w:rPr>
          <w:rFonts w:cs="Arial"/>
          <w:color w:val="auto"/>
        </w:rPr>
        <w:t xml:space="preserve">per Overnight-Express von heute auf morgen. </w:t>
      </w:r>
      <w:r w:rsidR="00C46AD1" w:rsidRPr="00E83B17">
        <w:rPr>
          <w:rFonts w:cs="Arial"/>
          <w:color w:val="auto"/>
        </w:rPr>
        <w:t>Auch hier spielen Termintreue und flexible Abhol- und Zustelloptionen eine große Rolle.</w:t>
      </w:r>
    </w:p>
    <w:p w14:paraId="182B1448" w14:textId="03FB2EA2" w:rsidR="00C46AD1" w:rsidRPr="00E83B17" w:rsidRDefault="00C46AD1" w:rsidP="009215B1">
      <w:pPr>
        <w:autoSpaceDE w:val="0"/>
        <w:autoSpaceDN w:val="0"/>
        <w:adjustRightInd w:val="0"/>
        <w:spacing w:after="120" w:line="280" w:lineRule="atLeast"/>
        <w:rPr>
          <w:rFonts w:cs="Arial"/>
          <w:color w:val="auto"/>
        </w:rPr>
      </w:pPr>
      <w:r w:rsidRPr="00E83B17">
        <w:rPr>
          <w:rFonts w:cs="Arial"/>
          <w:color w:val="auto"/>
        </w:rPr>
        <w:t>Die Kunden von KDE sind breit gefächert und reichen vom Kleinunternehmen bis zum Weltkonzern, von Handwerkern, Universitäten, Rechtsanwälten bis zu diversen Dienstleistungsunternehmen und Industrie.</w:t>
      </w:r>
    </w:p>
    <w:p w14:paraId="574AB6F9" w14:textId="77777777" w:rsidR="001D505A" w:rsidRPr="00E83B17" w:rsidRDefault="00BA77E6" w:rsidP="009215B1">
      <w:pPr>
        <w:autoSpaceDE w:val="0"/>
        <w:autoSpaceDN w:val="0"/>
        <w:adjustRightInd w:val="0"/>
        <w:spacing w:after="120" w:line="280" w:lineRule="atLeast"/>
        <w:rPr>
          <w:rFonts w:cs="Arial"/>
          <w:color w:val="auto"/>
        </w:rPr>
      </w:pPr>
      <w:r w:rsidRPr="00E83B17">
        <w:rPr>
          <w:rFonts w:cs="Arial"/>
          <w:color w:val="auto"/>
        </w:rPr>
        <w:t xml:space="preserve">KDE ist </w:t>
      </w:r>
      <w:r w:rsidR="001D505A" w:rsidRPr="00E83B17">
        <w:rPr>
          <w:rFonts w:cs="Arial"/>
          <w:color w:val="auto"/>
        </w:rPr>
        <w:t>zertifiziert:</w:t>
      </w:r>
    </w:p>
    <w:p w14:paraId="450E77EC" w14:textId="3983D1EE" w:rsidR="001D505A" w:rsidRPr="00E83B17" w:rsidRDefault="001D505A" w:rsidP="009215B1">
      <w:pPr>
        <w:pStyle w:val="Listenabsatz"/>
        <w:numPr>
          <w:ilvl w:val="0"/>
          <w:numId w:val="42"/>
        </w:numPr>
        <w:autoSpaceDE w:val="0"/>
        <w:autoSpaceDN w:val="0"/>
        <w:adjustRightInd w:val="0"/>
        <w:spacing w:after="120" w:line="280" w:lineRule="atLeast"/>
        <w:rPr>
          <w:rFonts w:cs="Arial"/>
          <w:color w:val="auto"/>
        </w:rPr>
      </w:pPr>
      <w:r w:rsidRPr="00E83B17">
        <w:rPr>
          <w:rFonts w:cs="Arial"/>
          <w:color w:val="auto"/>
        </w:rPr>
        <w:t xml:space="preserve">Qualitätsmanagement </w:t>
      </w:r>
      <w:r w:rsidR="00BA77E6" w:rsidRPr="00E83B17">
        <w:rPr>
          <w:rFonts w:cs="Arial"/>
          <w:color w:val="auto"/>
        </w:rPr>
        <w:t>ISO 9001:2015</w:t>
      </w:r>
    </w:p>
    <w:p w14:paraId="2EC601B3" w14:textId="6265D521" w:rsidR="001D505A" w:rsidRPr="00E83B17" w:rsidRDefault="001D505A" w:rsidP="009215B1">
      <w:pPr>
        <w:pStyle w:val="Listenabsatz"/>
        <w:numPr>
          <w:ilvl w:val="0"/>
          <w:numId w:val="42"/>
        </w:numPr>
        <w:autoSpaceDE w:val="0"/>
        <w:autoSpaceDN w:val="0"/>
        <w:adjustRightInd w:val="0"/>
        <w:spacing w:after="120" w:line="280" w:lineRule="atLeast"/>
        <w:rPr>
          <w:rFonts w:cs="Arial"/>
          <w:color w:val="auto"/>
        </w:rPr>
      </w:pPr>
      <w:r w:rsidRPr="00E83B17">
        <w:rPr>
          <w:rFonts w:cs="Arial"/>
          <w:color w:val="auto"/>
        </w:rPr>
        <w:t xml:space="preserve">Umweltmanagement </w:t>
      </w:r>
      <w:r w:rsidR="00BA77E6" w:rsidRPr="00E83B17">
        <w:rPr>
          <w:rFonts w:cs="Arial"/>
          <w:color w:val="auto"/>
        </w:rPr>
        <w:t xml:space="preserve">ISO 14001:2015 </w:t>
      </w:r>
    </w:p>
    <w:p w14:paraId="283ADECA" w14:textId="0DE082B1" w:rsidR="00BA77E6" w:rsidRPr="00E83B17" w:rsidRDefault="00BA77E6" w:rsidP="009215B1">
      <w:pPr>
        <w:pStyle w:val="Listenabsatz"/>
        <w:numPr>
          <w:ilvl w:val="0"/>
          <w:numId w:val="42"/>
        </w:numPr>
        <w:autoSpaceDE w:val="0"/>
        <w:autoSpaceDN w:val="0"/>
        <w:adjustRightInd w:val="0"/>
        <w:spacing w:after="120" w:line="280" w:lineRule="atLeast"/>
        <w:rPr>
          <w:rFonts w:cs="Arial"/>
          <w:color w:val="auto"/>
        </w:rPr>
      </w:pPr>
      <w:r w:rsidRPr="00E83B17">
        <w:rPr>
          <w:rFonts w:cs="Arial"/>
          <w:color w:val="auto"/>
        </w:rPr>
        <w:t>FairKEP-Unternehmen</w:t>
      </w:r>
    </w:p>
    <w:p w14:paraId="07FB247C" w14:textId="629511FB" w:rsidR="0051346F" w:rsidRPr="00E83B17" w:rsidRDefault="0051346F" w:rsidP="009215B1">
      <w:pPr>
        <w:autoSpaceDE w:val="0"/>
        <w:autoSpaceDN w:val="0"/>
        <w:adjustRightInd w:val="0"/>
        <w:spacing w:after="120" w:line="280" w:lineRule="atLeast"/>
        <w:rPr>
          <w:rFonts w:cs="Arial"/>
          <w:color w:val="auto"/>
        </w:rPr>
      </w:pPr>
      <w:r w:rsidRPr="00E83B17">
        <w:rPr>
          <w:rFonts w:cs="Arial"/>
          <w:color w:val="auto"/>
        </w:rPr>
        <w:t>KDE unterhält zwei Standorte mit Büroräumlichkeiten und Lagerfläche. An beiden Standorten gibt es einen Fuhrpark</w:t>
      </w:r>
      <w:r w:rsidR="00464EDA" w:rsidRPr="00E83B17">
        <w:rPr>
          <w:rFonts w:cs="Arial"/>
          <w:color w:val="auto"/>
        </w:rPr>
        <w:t xml:space="preserve"> mit Dienstwagen und Transportfahrzeugen. Mit dem KDE-Fuhrpark führen Kuriere in erster Linie regionale Transporte durch.</w:t>
      </w:r>
      <w:r w:rsidRPr="00E83B17">
        <w:rPr>
          <w:rFonts w:cs="Arial"/>
          <w:color w:val="auto"/>
        </w:rPr>
        <w:t xml:space="preserve"> </w:t>
      </w:r>
    </w:p>
    <w:p w14:paraId="4AB98CE9" w14:textId="1BEA6A32" w:rsidR="00464EDA" w:rsidRPr="00E83B17" w:rsidRDefault="00464EDA" w:rsidP="009215B1">
      <w:pPr>
        <w:autoSpaceDE w:val="0"/>
        <w:autoSpaceDN w:val="0"/>
        <w:adjustRightInd w:val="0"/>
        <w:spacing w:after="120" w:line="280" w:lineRule="atLeast"/>
        <w:rPr>
          <w:rFonts w:cs="Arial"/>
          <w:color w:val="auto"/>
        </w:rPr>
      </w:pPr>
      <w:r w:rsidRPr="00E83B17">
        <w:rPr>
          <w:rFonts w:cs="Arial"/>
          <w:color w:val="auto"/>
        </w:rPr>
        <w:t xml:space="preserve">Für </w:t>
      </w:r>
      <w:r w:rsidR="00A939DE" w:rsidRPr="00E83B17">
        <w:rPr>
          <w:rFonts w:cs="Arial"/>
          <w:color w:val="auto"/>
        </w:rPr>
        <w:t xml:space="preserve">nationale und internationale Transporte sind in erster Linie Partnerunternehmen unterwegs. Hierbei handelt es sich entweder um Premiumpartner, welche regelmäßig Aufträge von uns übernehmen, oder um Netzwerkpartner. Die Netzwerke E-Kurier, Couriernet, Timocom sind Plattformen von Transportunternehmen, auf denen Transporte angeboten und übernommen werden können. Durch die Netzwerke können bei Transport ökonomisch wie ökologisch sinnvolle Synergien geschaffen werden, Leerkilometer werden vermindert. </w:t>
      </w:r>
    </w:p>
    <w:p w14:paraId="563BDBA4" w14:textId="0BA6036D" w:rsidR="00A939DE" w:rsidRPr="00E83B17" w:rsidRDefault="00A939DE" w:rsidP="009215B1">
      <w:pPr>
        <w:autoSpaceDE w:val="0"/>
        <w:autoSpaceDN w:val="0"/>
        <w:adjustRightInd w:val="0"/>
        <w:spacing w:after="120" w:line="280" w:lineRule="atLeast"/>
        <w:rPr>
          <w:rFonts w:cs="Arial"/>
          <w:color w:val="auto"/>
        </w:rPr>
      </w:pPr>
      <w:r w:rsidRPr="00E83B17">
        <w:rPr>
          <w:rFonts w:cs="Arial"/>
          <w:color w:val="auto"/>
        </w:rPr>
        <w:t xml:space="preserve">Overnight-Express-Sendungen werden in aller Regel von </w:t>
      </w:r>
      <w:r w:rsidR="00FD6021">
        <w:rPr>
          <w:rFonts w:cs="Arial"/>
          <w:color w:val="auto"/>
        </w:rPr>
        <w:t>KDE-</w:t>
      </w:r>
      <w:r w:rsidRPr="00E83B17">
        <w:rPr>
          <w:rFonts w:cs="Arial"/>
          <w:color w:val="auto"/>
        </w:rPr>
        <w:t xml:space="preserve">Kurieren abgeholt und an </w:t>
      </w:r>
      <w:r w:rsidR="00FD6021">
        <w:rPr>
          <w:rFonts w:cs="Arial"/>
          <w:color w:val="auto"/>
        </w:rPr>
        <w:t>den KDE-</w:t>
      </w:r>
      <w:r w:rsidRPr="00E83B17">
        <w:rPr>
          <w:rFonts w:cs="Arial"/>
          <w:color w:val="auto"/>
        </w:rPr>
        <w:t xml:space="preserve">Standorten für den weiteren Versand vorbereitet. Die Overnight-Netzwerke Der Kurier und KEP holen die Sendungen mit eigenen Linienfahrzeugen </w:t>
      </w:r>
      <w:r w:rsidR="00FD6021">
        <w:rPr>
          <w:rFonts w:cs="Arial"/>
          <w:color w:val="auto"/>
        </w:rPr>
        <w:t xml:space="preserve">TP 3,5 to </w:t>
      </w:r>
      <w:r w:rsidRPr="00E83B17">
        <w:rPr>
          <w:rFonts w:cs="Arial"/>
          <w:color w:val="auto"/>
        </w:rPr>
        <w:t>an</w:t>
      </w:r>
      <w:r w:rsidR="00647F48">
        <w:rPr>
          <w:rFonts w:cs="Arial"/>
          <w:color w:val="auto"/>
        </w:rPr>
        <w:t xml:space="preserve"> KDE-</w:t>
      </w:r>
      <w:r w:rsidRPr="00E83B17">
        <w:rPr>
          <w:rFonts w:cs="Arial"/>
          <w:color w:val="auto"/>
        </w:rPr>
        <w:t>Standorten ab und bringen sie in einen Umschlag. Dort werden die bundesweiten Sendungen neu verteilt und von Linienfahrzeugen über Nacht zu den Partnern in der Zielregion gebracht. Diese Partner übernehmen die sogenannte letzte Meile und liefern die Sendungen dem Empfänger. So liefert auch KDE Sendungen in den Regionen an seinen Standorten aus.</w:t>
      </w:r>
    </w:p>
    <w:p w14:paraId="7410E39C" w14:textId="22753643" w:rsidR="001D505A" w:rsidRPr="00E83B17" w:rsidRDefault="00A939DE" w:rsidP="0049297C">
      <w:pPr>
        <w:pStyle w:val="berschrift2"/>
        <w:spacing w:after="160" w:line="280" w:lineRule="atLeast"/>
        <w:ind w:left="578" w:hanging="578"/>
      </w:pPr>
      <w:bookmarkStart w:id="9" w:name="_Toc73110763"/>
      <w:bookmarkStart w:id="10" w:name="_Toc135811104"/>
      <w:r w:rsidRPr="00E83B17">
        <w:t>Ziel der CCF-Erhebung</w:t>
      </w:r>
      <w:bookmarkEnd w:id="9"/>
      <w:bookmarkEnd w:id="10"/>
    </w:p>
    <w:p w14:paraId="6FC80444" w14:textId="3D472603" w:rsidR="00A939DE" w:rsidRPr="00E83B17" w:rsidRDefault="00A939DE" w:rsidP="009215B1">
      <w:pPr>
        <w:autoSpaceDE w:val="0"/>
        <w:autoSpaceDN w:val="0"/>
        <w:adjustRightInd w:val="0"/>
        <w:spacing w:line="280" w:lineRule="atLeast"/>
        <w:rPr>
          <w:rFonts w:cs="Arial"/>
          <w:color w:val="auto"/>
        </w:rPr>
      </w:pPr>
      <w:r w:rsidRPr="00E83B17">
        <w:rPr>
          <w:rFonts w:cs="Arial"/>
          <w:color w:val="auto"/>
        </w:rPr>
        <w:t xml:space="preserve">Mit der CCF-Erhebung hat KDE gemeinsam mit Experten seine Emissionsquellen analysiert und die Höhe der Emissionen berechnet. Dies dient KDE als Ausgangspunkt für Reduktionsmaßnahmen. Zugleich wurden die </w:t>
      </w:r>
      <w:r w:rsidR="00E92E62" w:rsidRPr="00E83B17">
        <w:rPr>
          <w:rFonts w:cs="Arial"/>
          <w:color w:val="auto"/>
        </w:rPr>
        <w:t>nicht verm</w:t>
      </w:r>
      <w:r w:rsidR="00FC30F2">
        <w:rPr>
          <w:rFonts w:cs="Arial"/>
          <w:color w:val="auto"/>
        </w:rPr>
        <w:t>iedenen</w:t>
      </w:r>
      <w:r w:rsidR="00E92E62" w:rsidRPr="00E83B17">
        <w:rPr>
          <w:rFonts w:cs="Arial"/>
          <w:color w:val="auto"/>
        </w:rPr>
        <w:t xml:space="preserve"> </w:t>
      </w:r>
      <w:r w:rsidRPr="00E83B17">
        <w:rPr>
          <w:rFonts w:cs="Arial"/>
          <w:color w:val="auto"/>
        </w:rPr>
        <w:t>Emissionen kompensiert.</w:t>
      </w:r>
    </w:p>
    <w:p w14:paraId="3DE21227" w14:textId="7ADE28B0" w:rsidR="00A939DE" w:rsidRPr="00E83B17" w:rsidRDefault="00A939DE" w:rsidP="009215B1">
      <w:pPr>
        <w:autoSpaceDE w:val="0"/>
        <w:autoSpaceDN w:val="0"/>
        <w:adjustRightInd w:val="0"/>
        <w:spacing w:line="280" w:lineRule="atLeast"/>
        <w:rPr>
          <w:rFonts w:cs="Arial"/>
          <w:color w:val="auto"/>
        </w:rPr>
      </w:pPr>
      <w:r w:rsidRPr="00E83B17">
        <w:rPr>
          <w:rFonts w:cs="Arial"/>
          <w:color w:val="auto"/>
        </w:rPr>
        <w:t>Dank dieser Analysen kann KDE nun gezielt Maßnahmen zur Reduktion ergreifen. KDE setzt sich künftig jährlich Ziele</w:t>
      </w:r>
      <w:r w:rsidR="00FE58C0" w:rsidRPr="00E83B17">
        <w:rPr>
          <w:rFonts w:cs="Arial"/>
          <w:color w:val="auto"/>
        </w:rPr>
        <w:t xml:space="preserve"> und ergreift Maßnahmen, damit diese erreicht werden können. Der Erfolg der Maßnahmen wird jährlich gemeinsam mit externen </w:t>
      </w:r>
      <w:r w:rsidR="00E92E62" w:rsidRPr="00E83B17">
        <w:rPr>
          <w:rFonts w:cs="Arial"/>
          <w:color w:val="auto"/>
        </w:rPr>
        <w:t xml:space="preserve">Experten </w:t>
      </w:r>
      <w:r w:rsidR="00FE58C0" w:rsidRPr="00E83B17">
        <w:rPr>
          <w:rFonts w:cs="Arial"/>
          <w:color w:val="auto"/>
        </w:rPr>
        <w:t>überprüft.</w:t>
      </w:r>
    </w:p>
    <w:p w14:paraId="7B8ED3FA" w14:textId="110F5B4D" w:rsidR="00895C8E" w:rsidRPr="00E83B17" w:rsidRDefault="00FC30F2" w:rsidP="0049297C">
      <w:pPr>
        <w:pStyle w:val="berschrift2"/>
        <w:spacing w:after="160" w:line="280" w:lineRule="atLeast"/>
        <w:ind w:left="578" w:hanging="578"/>
      </w:pPr>
      <w:bookmarkStart w:id="11" w:name="_Toc73110764"/>
      <w:bookmarkStart w:id="12" w:name="_Toc135811105"/>
      <w:r>
        <w:t xml:space="preserve">Maßnahmen zum Klimaschutz und </w:t>
      </w:r>
      <w:r w:rsidR="00895C8E" w:rsidRPr="00E83B17">
        <w:t>Klimaziele</w:t>
      </w:r>
      <w:bookmarkEnd w:id="11"/>
      <w:bookmarkEnd w:id="12"/>
    </w:p>
    <w:p w14:paraId="666DB8BB" w14:textId="1FA1BC76" w:rsidR="00895C8E" w:rsidRPr="00E83B17" w:rsidRDefault="00895C8E" w:rsidP="009215B1">
      <w:pPr>
        <w:autoSpaceDE w:val="0"/>
        <w:autoSpaceDN w:val="0"/>
        <w:adjustRightInd w:val="0"/>
        <w:spacing w:line="280" w:lineRule="atLeast"/>
        <w:rPr>
          <w:rFonts w:cs="Arial"/>
          <w:color w:val="auto"/>
        </w:rPr>
      </w:pPr>
      <w:r w:rsidRPr="00E83B17">
        <w:rPr>
          <w:rFonts w:cs="Arial"/>
          <w:color w:val="auto"/>
        </w:rPr>
        <w:t>KDE hat bereits in den Jahren zuvor über sein Umweltmanagement Maßnahmen zur Reduzierung der Umweltbelastungen ergriffen. Die Maßnahmen davon, die auch den Klimaschutz betreffen, bezogen sich</w:t>
      </w:r>
      <w:r w:rsidR="00547988" w:rsidRPr="00E83B17">
        <w:rPr>
          <w:rFonts w:cs="Arial"/>
          <w:color w:val="auto"/>
        </w:rPr>
        <w:t xml:space="preserve"> </w:t>
      </w:r>
      <w:r w:rsidRPr="00E83B17">
        <w:rPr>
          <w:rFonts w:cs="Arial"/>
          <w:color w:val="auto"/>
        </w:rPr>
        <w:t>auf</w:t>
      </w:r>
      <w:r w:rsidR="00547988" w:rsidRPr="00E83B17">
        <w:rPr>
          <w:rFonts w:cs="Arial"/>
          <w:color w:val="auto"/>
        </w:rPr>
        <w:t>:</w:t>
      </w:r>
    </w:p>
    <w:p w14:paraId="0FA21570" w14:textId="77777777" w:rsidR="00547988" w:rsidRPr="00E83B17" w:rsidRDefault="00547988" w:rsidP="009215B1">
      <w:pPr>
        <w:autoSpaceDE w:val="0"/>
        <w:autoSpaceDN w:val="0"/>
        <w:adjustRightInd w:val="0"/>
        <w:spacing w:line="280" w:lineRule="atLeast"/>
        <w:rPr>
          <w:rFonts w:cs="Arial"/>
          <w:color w:val="auto"/>
        </w:rPr>
      </w:pPr>
    </w:p>
    <w:p w14:paraId="17AD65F3" w14:textId="6801FF47" w:rsidR="00895C8E" w:rsidRPr="00D65578" w:rsidRDefault="00895C8E" w:rsidP="00D65578">
      <w:pPr>
        <w:pStyle w:val="Listenabsatz"/>
        <w:numPr>
          <w:ilvl w:val="0"/>
          <w:numId w:val="44"/>
        </w:numPr>
        <w:autoSpaceDE w:val="0"/>
        <w:autoSpaceDN w:val="0"/>
        <w:adjustRightInd w:val="0"/>
        <w:spacing w:line="280" w:lineRule="atLeast"/>
        <w:ind w:left="426"/>
        <w:rPr>
          <w:rFonts w:cs="Arial"/>
          <w:color w:val="auto"/>
        </w:rPr>
      </w:pPr>
      <w:r w:rsidRPr="00D65578">
        <w:rPr>
          <w:rFonts w:cs="Arial"/>
          <w:color w:val="auto"/>
        </w:rPr>
        <w:t>Beleuchtung: moderne LED-Technik, automatische Lichtabschaltung</w:t>
      </w:r>
    </w:p>
    <w:p w14:paraId="2FAB2AD3" w14:textId="0E44D8D8" w:rsidR="00895C8E" w:rsidRPr="00D65578" w:rsidRDefault="00895C8E" w:rsidP="00D65578">
      <w:pPr>
        <w:pStyle w:val="Listenabsatz"/>
        <w:numPr>
          <w:ilvl w:val="0"/>
          <w:numId w:val="44"/>
        </w:numPr>
        <w:autoSpaceDE w:val="0"/>
        <w:autoSpaceDN w:val="0"/>
        <w:adjustRightInd w:val="0"/>
        <w:spacing w:line="280" w:lineRule="atLeast"/>
        <w:ind w:left="426"/>
        <w:rPr>
          <w:rFonts w:cs="Arial"/>
          <w:color w:val="auto"/>
        </w:rPr>
      </w:pPr>
      <w:r w:rsidRPr="00D65578">
        <w:rPr>
          <w:rFonts w:cs="Arial"/>
          <w:color w:val="auto"/>
        </w:rPr>
        <w:t>Heizung: optimierte Steuerung der Raumtemperaturen, v.a. über Nacht und an Wochenenden</w:t>
      </w:r>
    </w:p>
    <w:p w14:paraId="023F902B" w14:textId="6AFFD6F2" w:rsidR="00895C8E" w:rsidRPr="00D65578" w:rsidRDefault="00895C8E" w:rsidP="00D65578">
      <w:pPr>
        <w:pStyle w:val="Listenabsatz"/>
        <w:numPr>
          <w:ilvl w:val="0"/>
          <w:numId w:val="44"/>
        </w:numPr>
        <w:autoSpaceDE w:val="0"/>
        <w:autoSpaceDN w:val="0"/>
        <w:adjustRightInd w:val="0"/>
        <w:spacing w:line="280" w:lineRule="atLeast"/>
        <w:ind w:left="426"/>
        <w:rPr>
          <w:rFonts w:cs="Arial"/>
          <w:color w:val="auto"/>
        </w:rPr>
      </w:pPr>
      <w:r w:rsidRPr="00D65578">
        <w:rPr>
          <w:rFonts w:cs="Arial"/>
          <w:color w:val="auto"/>
        </w:rPr>
        <w:t>Projekt papierloses Büro: Reduzierung von Papier- und Tonerverbrauch durch Digitalisierung, Einsparung von Druckergeräten</w:t>
      </w:r>
    </w:p>
    <w:p w14:paraId="73E5EBA3" w14:textId="732A1261" w:rsidR="00895C8E" w:rsidRPr="00D65578" w:rsidRDefault="00895C8E" w:rsidP="00D65578">
      <w:pPr>
        <w:pStyle w:val="Listenabsatz"/>
        <w:numPr>
          <w:ilvl w:val="0"/>
          <w:numId w:val="44"/>
        </w:numPr>
        <w:autoSpaceDE w:val="0"/>
        <w:autoSpaceDN w:val="0"/>
        <w:adjustRightInd w:val="0"/>
        <w:spacing w:line="280" w:lineRule="atLeast"/>
        <w:ind w:left="426"/>
        <w:rPr>
          <w:rFonts w:cs="Arial"/>
          <w:color w:val="auto"/>
        </w:rPr>
      </w:pPr>
      <w:r w:rsidRPr="00D65578">
        <w:rPr>
          <w:rFonts w:cs="Arial"/>
          <w:color w:val="auto"/>
        </w:rPr>
        <w:t>Gebäude: Erneuerung Fenster</w:t>
      </w:r>
    </w:p>
    <w:p w14:paraId="4F78543B" w14:textId="39D3AC2F" w:rsidR="00895C8E" w:rsidRPr="00D65578" w:rsidRDefault="00895C8E" w:rsidP="00D65578">
      <w:pPr>
        <w:pStyle w:val="Listenabsatz"/>
        <w:numPr>
          <w:ilvl w:val="0"/>
          <w:numId w:val="44"/>
        </w:numPr>
        <w:autoSpaceDE w:val="0"/>
        <w:autoSpaceDN w:val="0"/>
        <w:adjustRightInd w:val="0"/>
        <w:spacing w:line="280" w:lineRule="atLeast"/>
        <w:ind w:left="426"/>
        <w:rPr>
          <w:rFonts w:cs="Arial"/>
          <w:color w:val="auto"/>
        </w:rPr>
      </w:pPr>
      <w:r w:rsidRPr="00D65578">
        <w:rPr>
          <w:rFonts w:cs="Arial"/>
          <w:color w:val="auto"/>
        </w:rPr>
        <w:t xml:space="preserve">Fuhrpark: Testlauf von E-Mobilität, intelligente Synergielogistik, </w:t>
      </w:r>
      <w:r w:rsidR="005C1C98" w:rsidRPr="00D65578">
        <w:rPr>
          <w:rFonts w:cs="Arial"/>
          <w:color w:val="auto"/>
        </w:rPr>
        <w:t>Euro 6-Norm</w:t>
      </w:r>
    </w:p>
    <w:p w14:paraId="52DD855D" w14:textId="34448E79" w:rsidR="001D505A" w:rsidRPr="00E83B17" w:rsidRDefault="001D505A" w:rsidP="009215B1">
      <w:pPr>
        <w:autoSpaceDE w:val="0"/>
        <w:autoSpaceDN w:val="0"/>
        <w:adjustRightInd w:val="0"/>
        <w:spacing w:line="280" w:lineRule="atLeast"/>
        <w:rPr>
          <w:rFonts w:cs="Arial"/>
          <w:color w:val="auto"/>
        </w:rPr>
      </w:pPr>
    </w:p>
    <w:p w14:paraId="451A7C37" w14:textId="638F229D" w:rsidR="00895C8E" w:rsidRPr="00E83B17" w:rsidRDefault="00895C8E" w:rsidP="009215B1">
      <w:pPr>
        <w:autoSpaceDE w:val="0"/>
        <w:autoSpaceDN w:val="0"/>
        <w:adjustRightInd w:val="0"/>
        <w:spacing w:line="280" w:lineRule="atLeast"/>
        <w:rPr>
          <w:rFonts w:cs="Arial"/>
          <w:color w:val="auto"/>
        </w:rPr>
      </w:pPr>
      <w:r w:rsidRPr="00E83B17">
        <w:rPr>
          <w:rFonts w:cs="Arial"/>
          <w:color w:val="auto"/>
        </w:rPr>
        <w:t>Der Bereich Transport hat den bei weitem größten Anteil an CO</w:t>
      </w:r>
      <w:r w:rsidRPr="00D65578">
        <w:rPr>
          <w:rFonts w:cs="Arial"/>
          <w:color w:val="auto"/>
          <w:vertAlign w:val="subscript"/>
        </w:rPr>
        <w:t>2</w:t>
      </w:r>
      <w:r w:rsidR="005456B4" w:rsidRPr="00D65578">
        <w:rPr>
          <w:rFonts w:cs="Arial"/>
          <w:color w:val="auto"/>
        </w:rPr>
        <w:t>e</w:t>
      </w:r>
      <w:r w:rsidRPr="00E83B17">
        <w:rPr>
          <w:rFonts w:cs="Arial"/>
          <w:color w:val="auto"/>
        </w:rPr>
        <w:t xml:space="preserve">-Emissionen bei KDE. </w:t>
      </w:r>
      <w:r w:rsidR="005C1C98" w:rsidRPr="00E83B17">
        <w:rPr>
          <w:rFonts w:cs="Arial"/>
          <w:color w:val="auto"/>
        </w:rPr>
        <w:t xml:space="preserve">KDE arbeitet mit gut gewarteten und neuwertigen Fahrzeugen, um die Umweltbelastung so niedrig wie möglich zu halten. Ein Umstieg auf E-Mobilität ist aber zum heutigen Zeitpunkt nicht möglich, hier fehlt es an geeigneten Fahrzeugen v.a. für höhergewichtige Sendungen. Aber auch im PKW-/Caddy-Bereich sind Reichweite und Lademöglichkeiten noch nicht zufriedenstellend für zeitkritische Transporte. </w:t>
      </w:r>
    </w:p>
    <w:p w14:paraId="0C567D46" w14:textId="6D108D64" w:rsidR="005C1C98" w:rsidRPr="00E83B17" w:rsidRDefault="005C1C98" w:rsidP="009215B1">
      <w:pPr>
        <w:autoSpaceDE w:val="0"/>
        <w:autoSpaceDN w:val="0"/>
        <w:adjustRightInd w:val="0"/>
        <w:spacing w:line="280" w:lineRule="atLeast"/>
        <w:rPr>
          <w:rFonts w:cs="Arial"/>
          <w:color w:val="auto"/>
        </w:rPr>
      </w:pPr>
    </w:p>
    <w:p w14:paraId="13FD0CFF" w14:textId="14869B2A" w:rsidR="005C1C98" w:rsidRPr="00E83B17" w:rsidRDefault="005C1C98" w:rsidP="009215B1">
      <w:pPr>
        <w:autoSpaceDE w:val="0"/>
        <w:autoSpaceDN w:val="0"/>
        <w:adjustRightInd w:val="0"/>
        <w:spacing w:line="280" w:lineRule="atLeast"/>
        <w:rPr>
          <w:rFonts w:cs="Arial"/>
          <w:color w:val="auto"/>
        </w:rPr>
      </w:pPr>
      <w:r w:rsidRPr="00E83B17">
        <w:rPr>
          <w:rFonts w:cs="Arial"/>
          <w:color w:val="auto"/>
        </w:rPr>
        <w:t xml:space="preserve">KDE wird den Markt genau beobachten und weiterhin in Tests zu E-Mobilität investieren. </w:t>
      </w:r>
      <w:r w:rsidR="00AD2074" w:rsidRPr="00E83B17">
        <w:rPr>
          <w:rFonts w:cs="Arial"/>
          <w:color w:val="auto"/>
        </w:rPr>
        <w:t>U</w:t>
      </w:r>
      <w:r w:rsidRPr="00E83B17">
        <w:rPr>
          <w:rFonts w:cs="Arial"/>
          <w:color w:val="auto"/>
        </w:rPr>
        <w:t>m die Qualität</w:t>
      </w:r>
      <w:r w:rsidR="00647F48">
        <w:rPr>
          <w:rFonts w:cs="Arial"/>
          <w:color w:val="auto"/>
        </w:rPr>
        <w:t xml:space="preserve"> seiner </w:t>
      </w:r>
      <w:r w:rsidRPr="00E83B17">
        <w:rPr>
          <w:rFonts w:cs="Arial"/>
          <w:color w:val="auto"/>
        </w:rPr>
        <w:t xml:space="preserve">Dienstleistungen sicherzustellen, muss KDE </w:t>
      </w:r>
      <w:r w:rsidR="00AD2074" w:rsidRPr="00E83B17">
        <w:rPr>
          <w:rFonts w:cs="Arial"/>
          <w:color w:val="auto"/>
        </w:rPr>
        <w:t xml:space="preserve">aktuell </w:t>
      </w:r>
      <w:r w:rsidRPr="00E83B17">
        <w:rPr>
          <w:rFonts w:cs="Arial"/>
          <w:color w:val="auto"/>
        </w:rPr>
        <w:t>weiterhin mit Diesel-Fahrzeugen arbeiten. Eine Kompensation ist hier noch unvermeidbar.</w:t>
      </w:r>
    </w:p>
    <w:p w14:paraId="01EDC2B0" w14:textId="77777777" w:rsidR="005C1C98" w:rsidRPr="00E83B17" w:rsidRDefault="005C1C98" w:rsidP="009215B1">
      <w:pPr>
        <w:autoSpaceDE w:val="0"/>
        <w:autoSpaceDN w:val="0"/>
        <w:adjustRightInd w:val="0"/>
        <w:spacing w:line="280" w:lineRule="atLeast"/>
        <w:rPr>
          <w:rFonts w:cs="Arial"/>
          <w:color w:val="auto"/>
        </w:rPr>
      </w:pPr>
    </w:p>
    <w:p w14:paraId="2F0D208D" w14:textId="65B3F909" w:rsidR="005C1C98" w:rsidRPr="00E83B17" w:rsidRDefault="005C1C98" w:rsidP="009215B1">
      <w:pPr>
        <w:autoSpaceDE w:val="0"/>
        <w:autoSpaceDN w:val="0"/>
        <w:adjustRightInd w:val="0"/>
        <w:spacing w:line="280" w:lineRule="atLeast"/>
        <w:rPr>
          <w:rFonts w:cs="Arial"/>
          <w:color w:val="auto"/>
        </w:rPr>
      </w:pPr>
      <w:r w:rsidRPr="00E83B17">
        <w:rPr>
          <w:rFonts w:cs="Arial"/>
          <w:color w:val="auto"/>
        </w:rPr>
        <w:t>Zudem hat KDE geringen Einfluss auf die Emissionen bei Transporten in Scope 3</w:t>
      </w:r>
      <w:r w:rsidR="0056300B">
        <w:rPr>
          <w:rFonts w:cs="Arial"/>
          <w:color w:val="auto"/>
        </w:rPr>
        <w:t>.</w:t>
      </w:r>
      <w:r w:rsidRPr="00E83B17">
        <w:rPr>
          <w:rFonts w:cs="Arial"/>
          <w:color w:val="auto"/>
        </w:rPr>
        <w:t xml:space="preserve"> </w:t>
      </w:r>
      <w:r w:rsidR="0056300B">
        <w:rPr>
          <w:rFonts w:cs="Arial"/>
          <w:color w:val="auto"/>
        </w:rPr>
        <w:t>I</w:t>
      </w:r>
      <w:r w:rsidRPr="00E83B17">
        <w:rPr>
          <w:rFonts w:cs="Arial"/>
          <w:color w:val="auto"/>
        </w:rPr>
        <w:t>n den Netzwerken gibt es aktuell kein Angebot für emissionsfreie Transporte.</w:t>
      </w:r>
    </w:p>
    <w:p w14:paraId="04565AED" w14:textId="7FEAE9B8" w:rsidR="005C1C98" w:rsidRPr="00E83B17" w:rsidRDefault="005C1C98" w:rsidP="009215B1">
      <w:pPr>
        <w:autoSpaceDE w:val="0"/>
        <w:autoSpaceDN w:val="0"/>
        <w:adjustRightInd w:val="0"/>
        <w:spacing w:line="280" w:lineRule="atLeast"/>
        <w:rPr>
          <w:rFonts w:cs="Arial"/>
          <w:color w:val="auto"/>
        </w:rPr>
      </w:pPr>
    </w:p>
    <w:p w14:paraId="7E18825B" w14:textId="0D4DD2ED" w:rsidR="00547988" w:rsidRPr="00E83B17" w:rsidRDefault="005C1C98" w:rsidP="009215B1">
      <w:pPr>
        <w:autoSpaceDE w:val="0"/>
        <w:autoSpaceDN w:val="0"/>
        <w:adjustRightInd w:val="0"/>
        <w:spacing w:line="280" w:lineRule="atLeast"/>
        <w:rPr>
          <w:rFonts w:cs="Arial"/>
          <w:color w:val="auto"/>
        </w:rPr>
      </w:pPr>
      <w:r w:rsidRPr="00E83B17">
        <w:rPr>
          <w:rFonts w:cs="Arial"/>
          <w:color w:val="auto"/>
        </w:rPr>
        <w:t>Entsprechend konzentriert KDE aktuell seine Bemühungen auf den Bereich Gebäude, Büro sowie auf den Sektor Dienstwagen, wo E-Mobilität besser umsetzbar ist.</w:t>
      </w:r>
    </w:p>
    <w:p w14:paraId="59076F49" w14:textId="77777777" w:rsidR="0027582C" w:rsidRPr="00E83B17" w:rsidRDefault="0027582C" w:rsidP="009215B1">
      <w:pPr>
        <w:autoSpaceDE w:val="0"/>
        <w:autoSpaceDN w:val="0"/>
        <w:adjustRightInd w:val="0"/>
        <w:spacing w:line="280" w:lineRule="atLeast"/>
        <w:rPr>
          <w:rFonts w:cs="Arial"/>
          <w:color w:val="FF0000"/>
        </w:rPr>
      </w:pPr>
    </w:p>
    <w:p w14:paraId="603C15F3" w14:textId="77777777" w:rsidR="007972D8" w:rsidRPr="00E83B17" w:rsidRDefault="007972D8" w:rsidP="009215B1">
      <w:pPr>
        <w:spacing w:line="280" w:lineRule="atLeast"/>
        <w:jc w:val="left"/>
        <w:rPr>
          <w:rFonts w:cs="Arial"/>
          <w:b/>
          <w:kern w:val="32"/>
          <w:sz w:val="24"/>
          <w:szCs w:val="24"/>
        </w:rPr>
      </w:pPr>
      <w:bookmarkStart w:id="13" w:name="_Toc73110765"/>
      <w:r w:rsidRPr="00E83B17">
        <w:br w:type="page"/>
      </w:r>
    </w:p>
    <w:p w14:paraId="3F6CC739" w14:textId="62729146" w:rsidR="00160B5A" w:rsidRPr="00E83B17" w:rsidRDefault="000B0E12" w:rsidP="002422AE">
      <w:pPr>
        <w:pStyle w:val="berschrift1"/>
      </w:pPr>
      <w:bookmarkStart w:id="14" w:name="_Toc135811106"/>
      <w:r w:rsidRPr="00E83B17">
        <w:t>Systemgrenzen</w:t>
      </w:r>
      <w:r w:rsidR="00BA3E95" w:rsidRPr="00E83B17">
        <w:t xml:space="preserve"> der CCF-Erhebung</w:t>
      </w:r>
      <w:bookmarkEnd w:id="13"/>
      <w:bookmarkEnd w:id="14"/>
    </w:p>
    <w:p w14:paraId="0519877A" w14:textId="0B07598A" w:rsidR="00BA3E95" w:rsidRPr="00E83B17" w:rsidRDefault="00961A2A" w:rsidP="0049297C">
      <w:pPr>
        <w:pStyle w:val="berschrift2"/>
        <w:spacing w:after="160" w:line="280" w:lineRule="atLeast"/>
        <w:ind w:left="578" w:hanging="578"/>
        <w:rPr>
          <w:sz w:val="22"/>
          <w:szCs w:val="22"/>
        </w:rPr>
      </w:pPr>
      <w:bookmarkStart w:id="15" w:name="_Toc73110766"/>
      <w:bookmarkStart w:id="16" w:name="_Toc135811107"/>
      <w:r w:rsidRPr="00E83B17">
        <w:rPr>
          <w:sz w:val="22"/>
          <w:szCs w:val="22"/>
        </w:rPr>
        <w:t>Systemgrenze des Unternehmens</w:t>
      </w:r>
      <w:bookmarkEnd w:id="15"/>
      <w:bookmarkEnd w:id="16"/>
    </w:p>
    <w:p w14:paraId="616AB4FB" w14:textId="32B8A420" w:rsidR="00961A2A" w:rsidRPr="00E83B17" w:rsidRDefault="00961A2A" w:rsidP="009215B1">
      <w:pPr>
        <w:widowControl w:val="0"/>
        <w:autoSpaceDE w:val="0"/>
        <w:autoSpaceDN w:val="0"/>
        <w:adjustRightInd w:val="0"/>
        <w:spacing w:line="280" w:lineRule="atLeast"/>
        <w:jc w:val="left"/>
        <w:rPr>
          <w:color w:val="4D4D4D"/>
        </w:rPr>
      </w:pPr>
      <w:r w:rsidRPr="00E83B17">
        <w:rPr>
          <w:rFonts w:cs="Arial"/>
        </w:rPr>
        <w:t xml:space="preserve">Für die Betrachtung der </w:t>
      </w:r>
      <w:r w:rsidR="00BA3E95" w:rsidRPr="00E83B17">
        <w:rPr>
          <w:rFonts w:cs="Arial"/>
        </w:rPr>
        <w:t>T</w:t>
      </w:r>
      <w:r w:rsidRPr="00E83B17">
        <w:rPr>
          <w:rFonts w:cs="Arial"/>
        </w:rPr>
        <w:t>reibhausgas-Bilanz galt es an erster Stelle</w:t>
      </w:r>
      <w:r w:rsidR="00E13436" w:rsidRPr="00E83B17">
        <w:rPr>
          <w:rFonts w:cs="Arial"/>
        </w:rPr>
        <w:t>,</w:t>
      </w:r>
      <w:r w:rsidRPr="00E83B17">
        <w:rPr>
          <w:rFonts w:cs="Arial"/>
        </w:rPr>
        <w:t xml:space="preserve"> einen </w:t>
      </w:r>
      <w:r w:rsidR="00E13436" w:rsidRPr="00E83B17">
        <w:rPr>
          <w:rFonts w:cs="Arial"/>
        </w:rPr>
        <w:t>K</w:t>
      </w:r>
      <w:r w:rsidRPr="00E83B17">
        <w:rPr>
          <w:rFonts w:cs="Arial"/>
        </w:rPr>
        <w:t xml:space="preserve">onsolidierungsansatz laut </w:t>
      </w:r>
      <w:r w:rsidR="00E13436" w:rsidRPr="00E83B17">
        <w:rPr>
          <w:rFonts w:cs="Arial"/>
        </w:rPr>
        <w:t xml:space="preserve">des „GHG Protocols“ auszuwählen. </w:t>
      </w:r>
      <w:r w:rsidRPr="00E83B17">
        <w:rPr>
          <w:rFonts w:cs="Arial"/>
        </w:rPr>
        <w:t>Die</w:t>
      </w:r>
      <w:r w:rsidR="00547988" w:rsidRPr="00E83B17">
        <w:rPr>
          <w:rFonts w:cs="Arial"/>
        </w:rPr>
        <w:t xml:space="preserve"> U</w:t>
      </w:r>
      <w:r w:rsidRPr="00E83B17">
        <w:rPr>
          <w:rFonts w:cs="Arial"/>
        </w:rPr>
        <w:t>nternehmenssystemgrenze bestimmt</w:t>
      </w:r>
      <w:r w:rsidR="004A76A6" w:rsidRPr="00E83B17">
        <w:rPr>
          <w:rFonts w:cs="Arial"/>
        </w:rPr>
        <w:t>,</w:t>
      </w:r>
      <w:r w:rsidRPr="00E83B17">
        <w:rPr>
          <w:rFonts w:cs="Arial"/>
        </w:rPr>
        <w:t xml:space="preserve"> welche Emissionsquellen im Rahmen der CCF-Erhebung betrachtet werden.</w:t>
      </w:r>
    </w:p>
    <w:p w14:paraId="0D31060D" w14:textId="77777777" w:rsidR="00973942" w:rsidRPr="00E83B17" w:rsidRDefault="00973942" w:rsidP="009215B1">
      <w:pPr>
        <w:autoSpaceDE w:val="0"/>
        <w:autoSpaceDN w:val="0"/>
        <w:adjustRightInd w:val="0"/>
        <w:spacing w:line="280" w:lineRule="atLeast"/>
        <w:rPr>
          <w:rFonts w:cs="Arial"/>
        </w:rPr>
      </w:pPr>
    </w:p>
    <w:p w14:paraId="363E1DD9" w14:textId="4465C33C" w:rsidR="00E13436" w:rsidRPr="00E83B17" w:rsidRDefault="00BA77E6" w:rsidP="009215B1">
      <w:pPr>
        <w:widowControl w:val="0"/>
        <w:autoSpaceDE w:val="0"/>
        <w:autoSpaceDN w:val="0"/>
        <w:adjustRightInd w:val="0"/>
        <w:spacing w:line="280" w:lineRule="atLeast"/>
        <w:jc w:val="left"/>
        <w:rPr>
          <w:rFonts w:cs="Arial"/>
        </w:rPr>
      </w:pPr>
      <w:r w:rsidRPr="00E83B17">
        <w:rPr>
          <w:rFonts w:cs="Arial"/>
          <w:color w:val="auto"/>
        </w:rPr>
        <w:t xml:space="preserve">KDE </w:t>
      </w:r>
      <w:r w:rsidR="00E13436" w:rsidRPr="00E83B17">
        <w:rPr>
          <w:rFonts w:cs="Arial"/>
          <w:color w:val="auto"/>
        </w:rPr>
        <w:t>wende</w:t>
      </w:r>
      <w:r w:rsidR="00E13436" w:rsidRPr="00E83B17">
        <w:rPr>
          <w:rFonts w:cs="Arial"/>
        </w:rPr>
        <w:t>t</w:t>
      </w:r>
      <w:r w:rsidR="00C0342E" w:rsidRPr="00E83B17">
        <w:rPr>
          <w:rFonts w:cs="Arial"/>
        </w:rPr>
        <w:t xml:space="preserve"> den</w:t>
      </w:r>
      <w:r w:rsidR="00973942" w:rsidRPr="00E83B17">
        <w:rPr>
          <w:rFonts w:cs="Arial"/>
        </w:rPr>
        <w:t xml:space="preserve"> </w:t>
      </w:r>
      <w:r w:rsidR="00F01FD3" w:rsidRPr="00E83B17">
        <w:rPr>
          <w:rFonts w:cs="Arial"/>
          <w:color w:val="auto"/>
        </w:rPr>
        <w:t>Ansatz</w:t>
      </w:r>
      <w:r w:rsidR="008F216E" w:rsidRPr="00E83B17">
        <w:rPr>
          <w:rFonts w:cs="Arial"/>
          <w:color w:val="auto"/>
        </w:rPr>
        <w:t xml:space="preserve"> der operativen Kontrolle</w:t>
      </w:r>
      <w:r w:rsidR="00973942" w:rsidRPr="00E83B17">
        <w:rPr>
          <w:rFonts w:cs="Arial"/>
          <w:color w:val="auto"/>
        </w:rPr>
        <w:t xml:space="preserve"> </w:t>
      </w:r>
      <w:r w:rsidR="00C0342E" w:rsidRPr="00E83B17">
        <w:rPr>
          <w:rFonts w:cs="Arial"/>
          <w:color w:val="auto"/>
        </w:rPr>
        <w:t xml:space="preserve">für die </w:t>
      </w:r>
      <w:r w:rsidR="00C0342E" w:rsidRPr="00E83B17">
        <w:rPr>
          <w:rFonts w:cs="Arial"/>
        </w:rPr>
        <w:t>Datenerheb</w:t>
      </w:r>
      <w:r w:rsidR="0051346F" w:rsidRPr="00E83B17">
        <w:rPr>
          <w:rFonts w:cs="Arial"/>
        </w:rPr>
        <w:t>ung</w:t>
      </w:r>
      <w:r w:rsidR="00C0342E" w:rsidRPr="00E83B17">
        <w:rPr>
          <w:rFonts w:cs="Arial"/>
        </w:rPr>
        <w:t xml:space="preserve"> und die Berichterstattung der THG-Emissionen </w:t>
      </w:r>
      <w:r w:rsidR="00E13436" w:rsidRPr="00E83B17">
        <w:rPr>
          <w:rFonts w:cs="Arial"/>
        </w:rPr>
        <w:t>an</w:t>
      </w:r>
      <w:r w:rsidR="003667E0" w:rsidRPr="00E83B17">
        <w:rPr>
          <w:rFonts w:cs="Arial"/>
        </w:rPr>
        <w:t xml:space="preserve">. </w:t>
      </w:r>
      <w:r w:rsidR="00E13436" w:rsidRPr="00E83B17">
        <w:rPr>
          <w:rFonts w:cs="Arial"/>
        </w:rPr>
        <w:t xml:space="preserve">Die Emissionen der im Rahmen des Konsolidierungsansatzes liegenden Standorte, werden im Rahmen der CCF-Erhebung zu 100% der </w:t>
      </w:r>
      <w:r w:rsidRPr="00E83B17">
        <w:rPr>
          <w:rFonts w:cs="Arial"/>
          <w:color w:val="auto"/>
        </w:rPr>
        <w:t xml:space="preserve">KDE </w:t>
      </w:r>
      <w:r w:rsidR="00E13436" w:rsidRPr="00E83B17">
        <w:rPr>
          <w:rFonts w:cs="Arial"/>
          <w:color w:val="auto"/>
        </w:rPr>
        <w:t>ange</w:t>
      </w:r>
      <w:r w:rsidR="00E13436" w:rsidRPr="00E83B17">
        <w:rPr>
          <w:rFonts w:cs="Arial"/>
        </w:rPr>
        <w:t>rechnet.</w:t>
      </w:r>
    </w:p>
    <w:p w14:paraId="21304EA3" w14:textId="5BC732E6" w:rsidR="00973942" w:rsidRPr="00E83B17" w:rsidRDefault="00973942" w:rsidP="009215B1">
      <w:pPr>
        <w:autoSpaceDE w:val="0"/>
        <w:autoSpaceDN w:val="0"/>
        <w:adjustRightInd w:val="0"/>
        <w:spacing w:line="280" w:lineRule="atLeast"/>
        <w:rPr>
          <w:rFonts w:cs="Arial"/>
        </w:rPr>
      </w:pPr>
    </w:p>
    <w:p w14:paraId="64ADB88F" w14:textId="16EB13D2" w:rsidR="00973942" w:rsidRPr="00E83B17" w:rsidRDefault="00A86B35" w:rsidP="009215B1">
      <w:pPr>
        <w:autoSpaceDE w:val="0"/>
        <w:autoSpaceDN w:val="0"/>
        <w:adjustRightInd w:val="0"/>
        <w:spacing w:line="280" w:lineRule="atLeast"/>
        <w:rPr>
          <w:rFonts w:cs="Arial"/>
        </w:rPr>
      </w:pPr>
      <w:r w:rsidRPr="00E83B17">
        <w:rPr>
          <w:rFonts w:cs="Arial"/>
        </w:rPr>
        <w:t>Diesem Ansatz entsprechend</w:t>
      </w:r>
      <w:r w:rsidR="00C0342E" w:rsidRPr="00E83B17">
        <w:rPr>
          <w:rFonts w:cs="Arial"/>
        </w:rPr>
        <w:t xml:space="preserve"> </w:t>
      </w:r>
      <w:r w:rsidRPr="00E83B17">
        <w:rPr>
          <w:rFonts w:cs="Arial"/>
        </w:rPr>
        <w:t xml:space="preserve">werden für den </w:t>
      </w:r>
      <w:r w:rsidR="00C0342E" w:rsidRPr="00E83B17">
        <w:rPr>
          <w:rFonts w:cs="Arial"/>
        </w:rPr>
        <w:t xml:space="preserve">Carbon Footprint </w:t>
      </w:r>
      <w:r w:rsidRPr="00E83B17">
        <w:rPr>
          <w:rFonts w:cs="Arial"/>
        </w:rPr>
        <w:t>Bericht</w:t>
      </w:r>
      <w:r w:rsidR="00C0342E" w:rsidRPr="00E83B17">
        <w:rPr>
          <w:rFonts w:cs="Arial"/>
        </w:rPr>
        <w:t xml:space="preserve">, </w:t>
      </w:r>
      <w:r w:rsidRPr="00E83B17">
        <w:rPr>
          <w:rFonts w:cs="Arial"/>
        </w:rPr>
        <w:t xml:space="preserve">die </w:t>
      </w:r>
      <w:r w:rsidR="00C0342E" w:rsidRPr="00E83B17">
        <w:rPr>
          <w:rFonts w:cs="Arial"/>
        </w:rPr>
        <w:t xml:space="preserve">Emissionen </w:t>
      </w:r>
      <w:r w:rsidRPr="00E83B17">
        <w:rPr>
          <w:rFonts w:cs="Arial"/>
        </w:rPr>
        <w:t>der</w:t>
      </w:r>
      <w:r w:rsidR="00C0342E" w:rsidRPr="00E83B17">
        <w:rPr>
          <w:rFonts w:cs="Arial"/>
        </w:rPr>
        <w:t xml:space="preserve"> folgenden </w:t>
      </w:r>
      <w:r w:rsidRPr="00E83B17">
        <w:rPr>
          <w:rFonts w:cs="Arial"/>
        </w:rPr>
        <w:t>Standorte</w:t>
      </w:r>
      <w:r w:rsidR="00E13436" w:rsidRPr="00E83B17">
        <w:rPr>
          <w:rFonts w:cs="Arial"/>
        </w:rPr>
        <w:t xml:space="preserve"> </w:t>
      </w:r>
      <w:r w:rsidRPr="00E83B17">
        <w:rPr>
          <w:rFonts w:cs="Arial"/>
        </w:rPr>
        <w:t>berücksichtigt</w:t>
      </w:r>
      <w:r w:rsidR="00E13436" w:rsidRPr="00E83B17">
        <w:rPr>
          <w:rFonts w:cs="Arial"/>
        </w:rPr>
        <w:t>:</w:t>
      </w:r>
    </w:p>
    <w:p w14:paraId="74BE8261" w14:textId="77777777" w:rsidR="00F01FD3" w:rsidRPr="00E83B17" w:rsidRDefault="00F01FD3" w:rsidP="009215B1">
      <w:pPr>
        <w:autoSpaceDE w:val="0"/>
        <w:autoSpaceDN w:val="0"/>
        <w:adjustRightInd w:val="0"/>
        <w:spacing w:line="280" w:lineRule="atLeast"/>
        <w:rPr>
          <w:rFonts w:cs="Arial"/>
          <w:color w:val="FF0000"/>
        </w:rPr>
      </w:pPr>
    </w:p>
    <w:p w14:paraId="41FF51B6" w14:textId="004CF98E" w:rsidR="00E70DFC" w:rsidRPr="00E83B17" w:rsidRDefault="00BA77E6" w:rsidP="009215B1">
      <w:pPr>
        <w:pStyle w:val="Listenabsatz"/>
        <w:numPr>
          <w:ilvl w:val="0"/>
          <w:numId w:val="34"/>
        </w:numPr>
        <w:autoSpaceDE w:val="0"/>
        <w:autoSpaceDN w:val="0"/>
        <w:adjustRightInd w:val="0"/>
        <w:spacing w:line="280" w:lineRule="atLeast"/>
        <w:rPr>
          <w:rFonts w:cs="Arial"/>
          <w:b/>
          <w:color w:val="auto"/>
        </w:rPr>
      </w:pPr>
      <w:r w:rsidRPr="00E83B17">
        <w:rPr>
          <w:rFonts w:cs="Arial"/>
          <w:b/>
          <w:color w:val="auto"/>
        </w:rPr>
        <w:t>KDE Zentrale Erlangen</w:t>
      </w:r>
    </w:p>
    <w:p w14:paraId="55399C9B" w14:textId="118B7DF4" w:rsidR="00E70DFC" w:rsidRPr="00E83B17" w:rsidRDefault="00BA77E6" w:rsidP="009215B1">
      <w:pPr>
        <w:pStyle w:val="Listenabsatz"/>
        <w:autoSpaceDE w:val="0"/>
        <w:autoSpaceDN w:val="0"/>
        <w:adjustRightInd w:val="0"/>
        <w:spacing w:line="280" w:lineRule="atLeast"/>
        <w:rPr>
          <w:rFonts w:cs="Arial"/>
          <w:b/>
          <w:color w:val="auto"/>
        </w:rPr>
      </w:pPr>
      <w:r w:rsidRPr="00E83B17">
        <w:rPr>
          <w:rFonts w:cs="Arial"/>
          <w:b/>
          <w:color w:val="auto"/>
        </w:rPr>
        <w:t>Willi-Grasser-Str. 18, 91056 Erlangen</w:t>
      </w:r>
    </w:p>
    <w:p w14:paraId="1E39CA0A" w14:textId="77777777" w:rsidR="00E70DFC" w:rsidRPr="00E83B17" w:rsidRDefault="00E70DFC" w:rsidP="009215B1">
      <w:pPr>
        <w:autoSpaceDE w:val="0"/>
        <w:autoSpaceDN w:val="0"/>
        <w:adjustRightInd w:val="0"/>
        <w:spacing w:line="280" w:lineRule="atLeast"/>
        <w:rPr>
          <w:rFonts w:cs="Arial"/>
          <w:color w:val="auto"/>
        </w:rPr>
      </w:pPr>
    </w:p>
    <w:p w14:paraId="7653616A" w14:textId="7ACFCE34" w:rsidR="00E70DFC" w:rsidRPr="00E83B17" w:rsidRDefault="00BA77E6" w:rsidP="009215B1">
      <w:pPr>
        <w:pStyle w:val="Listenabsatz"/>
        <w:numPr>
          <w:ilvl w:val="0"/>
          <w:numId w:val="34"/>
        </w:numPr>
        <w:autoSpaceDE w:val="0"/>
        <w:autoSpaceDN w:val="0"/>
        <w:adjustRightInd w:val="0"/>
        <w:spacing w:line="280" w:lineRule="atLeast"/>
        <w:rPr>
          <w:rFonts w:cs="Arial"/>
          <w:b/>
          <w:color w:val="auto"/>
        </w:rPr>
      </w:pPr>
      <w:r w:rsidRPr="00E83B17">
        <w:rPr>
          <w:rFonts w:cs="Arial"/>
          <w:b/>
          <w:color w:val="auto"/>
        </w:rPr>
        <w:t>KDE Niederlassung Rhein-Main</w:t>
      </w:r>
    </w:p>
    <w:p w14:paraId="77CD251A" w14:textId="78FD6AF4" w:rsidR="00E70DFC" w:rsidRPr="00E83B17" w:rsidRDefault="00BA77E6" w:rsidP="009215B1">
      <w:pPr>
        <w:pStyle w:val="Listenabsatz"/>
        <w:autoSpaceDE w:val="0"/>
        <w:autoSpaceDN w:val="0"/>
        <w:adjustRightInd w:val="0"/>
        <w:spacing w:line="280" w:lineRule="atLeast"/>
        <w:rPr>
          <w:rFonts w:cs="Arial"/>
          <w:b/>
          <w:color w:val="auto"/>
        </w:rPr>
      </w:pPr>
      <w:r w:rsidRPr="00E83B17">
        <w:rPr>
          <w:rFonts w:cs="Arial"/>
          <w:b/>
          <w:color w:val="auto"/>
        </w:rPr>
        <w:t>Benzstraße 14, 63110 Rodgau</w:t>
      </w:r>
    </w:p>
    <w:p w14:paraId="67EEA7D3" w14:textId="04D76C61" w:rsidR="00973942" w:rsidRPr="00E83B17" w:rsidRDefault="00F01FD3" w:rsidP="0049297C">
      <w:pPr>
        <w:pStyle w:val="berschrift2"/>
        <w:spacing w:after="160" w:line="280" w:lineRule="atLeast"/>
        <w:ind w:left="578" w:hanging="578"/>
        <w:rPr>
          <w:rFonts w:cs="Arial"/>
          <w:sz w:val="22"/>
          <w:szCs w:val="22"/>
        </w:rPr>
      </w:pPr>
      <w:bookmarkStart w:id="17" w:name="_Toc73110767"/>
      <w:bookmarkStart w:id="18" w:name="_Toc135811108"/>
      <w:r w:rsidRPr="00E83B17">
        <w:rPr>
          <w:sz w:val="22"/>
          <w:szCs w:val="22"/>
        </w:rPr>
        <w:t>Bericht</w:t>
      </w:r>
      <w:r w:rsidR="00A87469" w:rsidRPr="00E83B17">
        <w:rPr>
          <w:sz w:val="22"/>
          <w:szCs w:val="22"/>
        </w:rPr>
        <w:t>szeitraum</w:t>
      </w:r>
      <w:bookmarkEnd w:id="17"/>
      <w:bookmarkEnd w:id="18"/>
    </w:p>
    <w:p w14:paraId="7B67030E" w14:textId="586D7515" w:rsidR="00973942" w:rsidRPr="00E83B17" w:rsidRDefault="00A87469" w:rsidP="009215B1">
      <w:pPr>
        <w:spacing w:line="280" w:lineRule="atLeast"/>
        <w:rPr>
          <w:rFonts w:cs="Arial"/>
        </w:rPr>
      </w:pPr>
      <w:r w:rsidRPr="00E83B17">
        <w:rPr>
          <w:rFonts w:cs="Arial"/>
        </w:rPr>
        <w:t>Der CCF der</w:t>
      </w:r>
      <w:r w:rsidRPr="00E83B17">
        <w:rPr>
          <w:rFonts w:cs="Arial"/>
          <w:color w:val="auto"/>
        </w:rPr>
        <w:t xml:space="preserve"> </w:t>
      </w:r>
      <w:r w:rsidR="00BA77E6" w:rsidRPr="00E83B17">
        <w:rPr>
          <w:rFonts w:cs="Arial"/>
          <w:color w:val="auto"/>
        </w:rPr>
        <w:t xml:space="preserve">KDE </w:t>
      </w:r>
      <w:r w:rsidRPr="00E83B17">
        <w:rPr>
          <w:rFonts w:cs="Arial"/>
          <w:color w:val="auto"/>
        </w:rPr>
        <w:t>wu</w:t>
      </w:r>
      <w:r w:rsidR="00646841" w:rsidRPr="00E83B17">
        <w:rPr>
          <w:rFonts w:cs="Arial"/>
        </w:rPr>
        <w:t>rde für den Berichtszeitraum vom</w:t>
      </w:r>
      <w:r w:rsidRPr="00E83B17">
        <w:rPr>
          <w:rFonts w:cs="Arial"/>
        </w:rPr>
        <w:t xml:space="preserve"> </w:t>
      </w:r>
      <w:r w:rsidR="00BA77E6" w:rsidRPr="00E83B17">
        <w:rPr>
          <w:rFonts w:cs="Arial"/>
        </w:rPr>
        <w:t>01.01.202</w:t>
      </w:r>
      <w:r w:rsidR="00CA6EDA">
        <w:rPr>
          <w:rFonts w:cs="Arial"/>
        </w:rPr>
        <w:t>2</w:t>
      </w:r>
      <w:r w:rsidRPr="00E83B17">
        <w:rPr>
          <w:rFonts w:cs="Arial"/>
        </w:rPr>
        <w:t xml:space="preserve"> bis</w:t>
      </w:r>
      <w:r w:rsidR="00BA77E6" w:rsidRPr="00E83B17">
        <w:rPr>
          <w:rFonts w:cs="Arial"/>
        </w:rPr>
        <w:t xml:space="preserve"> 31.12.202</w:t>
      </w:r>
      <w:r w:rsidR="00CA6EDA">
        <w:rPr>
          <w:rFonts w:cs="Arial"/>
        </w:rPr>
        <w:t>2</w:t>
      </w:r>
      <w:r w:rsidRPr="00E83B17">
        <w:rPr>
          <w:rFonts w:cs="Arial"/>
        </w:rPr>
        <w:t xml:space="preserve"> erhoben.</w:t>
      </w:r>
      <w:r w:rsidR="00646841" w:rsidRPr="00E83B17">
        <w:rPr>
          <w:rFonts w:cs="Arial"/>
        </w:rPr>
        <w:t xml:space="preserve"> Das Jahr </w:t>
      </w:r>
      <w:r w:rsidR="00BA77E6" w:rsidRPr="00E83B17">
        <w:rPr>
          <w:rFonts w:cs="Arial"/>
        </w:rPr>
        <w:t>202</w:t>
      </w:r>
      <w:r w:rsidR="00D960B9" w:rsidRPr="00E83B17">
        <w:rPr>
          <w:rFonts w:cs="Arial"/>
        </w:rPr>
        <w:t>0</w:t>
      </w:r>
      <w:r w:rsidR="00646841" w:rsidRPr="00E83B17">
        <w:rPr>
          <w:rFonts w:cs="Arial"/>
        </w:rPr>
        <w:t xml:space="preserve"> wurde als erstes Erhebungsjahr des CCF gewählt</w:t>
      </w:r>
      <w:r w:rsidR="0051346F" w:rsidRPr="00E83B17">
        <w:rPr>
          <w:rFonts w:cs="Arial"/>
        </w:rPr>
        <w:t>, es entspricht dem kaufmännischen Geschäftsjahr des Unternehmens.</w:t>
      </w:r>
      <w:r w:rsidR="00A75995">
        <w:rPr>
          <w:rFonts w:cs="Arial"/>
        </w:rPr>
        <w:t xml:space="preserve"> Seit</w:t>
      </w:r>
      <w:r w:rsidR="00F822C3">
        <w:rPr>
          <w:rFonts w:cs="Arial"/>
        </w:rPr>
        <w:t xml:space="preserve">dem </w:t>
      </w:r>
      <w:r w:rsidR="00A75995">
        <w:rPr>
          <w:rFonts w:cs="Arial"/>
        </w:rPr>
        <w:t>erfolgt die Erhebung jährlich.</w:t>
      </w:r>
    </w:p>
    <w:p w14:paraId="6558CBF0" w14:textId="77777777" w:rsidR="003D1E32" w:rsidRPr="00E83B17" w:rsidRDefault="003D1E32" w:rsidP="009215B1">
      <w:pPr>
        <w:spacing w:line="280" w:lineRule="atLeast"/>
        <w:rPr>
          <w:rFonts w:cs="Arial"/>
        </w:rPr>
      </w:pPr>
    </w:p>
    <w:p w14:paraId="69C75997" w14:textId="5B560E6F" w:rsidR="00E51878" w:rsidRPr="00E83B17" w:rsidRDefault="00E51878" w:rsidP="009215B1">
      <w:pPr>
        <w:spacing w:line="280" w:lineRule="atLeast"/>
        <w:rPr>
          <w:rFonts w:cs="Arial"/>
        </w:rPr>
      </w:pPr>
      <w:r w:rsidRPr="00E83B17">
        <w:rPr>
          <w:rFonts w:cs="Arial"/>
        </w:rPr>
        <w:t xml:space="preserve">Die </w:t>
      </w:r>
      <w:r w:rsidR="00ED74C7" w:rsidRPr="00E83B17">
        <w:rPr>
          <w:rFonts w:cs="Arial"/>
        </w:rPr>
        <w:t xml:space="preserve">Festlegung des Basisjahrs </w:t>
      </w:r>
      <w:r w:rsidR="00ED74C7" w:rsidRPr="00E83B17">
        <w:rPr>
          <w:rFonts w:cs="Arial"/>
          <w:color w:val="auto"/>
        </w:rPr>
        <w:t>erlaub</w:t>
      </w:r>
      <w:r w:rsidRPr="00E83B17">
        <w:rPr>
          <w:rFonts w:cs="Arial"/>
          <w:color w:val="auto"/>
        </w:rPr>
        <w:t xml:space="preserve">t </w:t>
      </w:r>
      <w:r w:rsidR="00BA77E6" w:rsidRPr="00E83B17">
        <w:rPr>
          <w:rFonts w:cs="Arial"/>
          <w:color w:val="auto"/>
        </w:rPr>
        <w:t xml:space="preserve">KDE </w:t>
      </w:r>
      <w:r w:rsidR="006317AB" w:rsidRPr="00E83B17">
        <w:rPr>
          <w:rFonts w:cs="Arial"/>
          <w:color w:val="auto"/>
        </w:rPr>
        <w:t xml:space="preserve">die Emissionsentwicklung </w:t>
      </w:r>
      <w:r w:rsidR="006317AB" w:rsidRPr="00E83B17">
        <w:rPr>
          <w:rFonts w:cs="Arial"/>
        </w:rPr>
        <w:t xml:space="preserve">seit dem Basisjahr sowie </w:t>
      </w:r>
      <w:r w:rsidRPr="00E83B17">
        <w:rPr>
          <w:rFonts w:cs="Arial"/>
        </w:rPr>
        <w:t xml:space="preserve">die </w:t>
      </w:r>
      <w:r w:rsidR="00ED74C7" w:rsidRPr="00E83B17">
        <w:rPr>
          <w:rFonts w:cs="Arial"/>
        </w:rPr>
        <w:t xml:space="preserve">Erreichung der gesetzten </w:t>
      </w:r>
      <w:r w:rsidR="006317AB" w:rsidRPr="00E83B17">
        <w:rPr>
          <w:rFonts w:cs="Arial"/>
        </w:rPr>
        <w:t>Klimaz</w:t>
      </w:r>
      <w:r w:rsidR="00ED74C7" w:rsidRPr="00E83B17">
        <w:rPr>
          <w:rFonts w:cs="Arial"/>
        </w:rPr>
        <w:t>iele</w:t>
      </w:r>
      <w:r w:rsidR="00597563" w:rsidRPr="00E83B17">
        <w:rPr>
          <w:rFonts w:cs="Arial"/>
        </w:rPr>
        <w:t xml:space="preserve"> nachzuvollziehen</w:t>
      </w:r>
      <w:r w:rsidRPr="00E83B17">
        <w:rPr>
          <w:rFonts w:cs="Arial"/>
        </w:rPr>
        <w:t>.</w:t>
      </w:r>
    </w:p>
    <w:p w14:paraId="588DF938" w14:textId="77777777" w:rsidR="00973942" w:rsidRPr="00E83B17" w:rsidRDefault="00973942" w:rsidP="009215B1">
      <w:pPr>
        <w:spacing w:line="280" w:lineRule="atLeast"/>
        <w:rPr>
          <w:rFonts w:cs="Arial"/>
        </w:rPr>
      </w:pPr>
    </w:p>
    <w:p w14:paraId="61C6574C" w14:textId="655E5A23" w:rsidR="00F01FD3" w:rsidRPr="00F822C3" w:rsidRDefault="00BA77E6" w:rsidP="009215B1">
      <w:pPr>
        <w:spacing w:line="280" w:lineRule="atLeast"/>
        <w:rPr>
          <w:rFonts w:cs="Arial"/>
        </w:rPr>
      </w:pPr>
      <w:r w:rsidRPr="00F822C3">
        <w:rPr>
          <w:rFonts w:cs="Arial"/>
        </w:rPr>
        <w:t>KDE</w:t>
      </w:r>
      <w:r w:rsidR="006317AB" w:rsidRPr="00F822C3">
        <w:rPr>
          <w:rFonts w:cs="Arial"/>
        </w:rPr>
        <w:t xml:space="preserve"> hat das Jahr </w:t>
      </w:r>
      <w:r w:rsidRPr="00F822C3">
        <w:rPr>
          <w:rFonts w:cs="Arial"/>
        </w:rPr>
        <w:t>2020</w:t>
      </w:r>
      <w:r w:rsidR="006317AB" w:rsidRPr="00F822C3">
        <w:rPr>
          <w:rFonts w:cs="Arial"/>
        </w:rPr>
        <w:t xml:space="preserve"> als </w:t>
      </w:r>
      <w:r w:rsidR="00C52291" w:rsidRPr="00F822C3">
        <w:rPr>
          <w:rFonts w:cs="Arial"/>
        </w:rPr>
        <w:t xml:space="preserve">Basisjahr </w:t>
      </w:r>
      <w:r w:rsidR="006317AB" w:rsidRPr="00F822C3">
        <w:rPr>
          <w:rFonts w:cs="Arial"/>
        </w:rPr>
        <w:t xml:space="preserve">gewählt, da </w:t>
      </w:r>
      <w:r w:rsidRPr="00F822C3">
        <w:rPr>
          <w:rFonts w:cs="Arial"/>
        </w:rPr>
        <w:t>in diesem Jahr die systematische und umfassende Erfassung der klimabeeinflussenden Faktoren erfolgte.</w:t>
      </w:r>
    </w:p>
    <w:p w14:paraId="7FFB08C2" w14:textId="77777777" w:rsidR="00CA6EDA" w:rsidRPr="00F822C3" w:rsidRDefault="00CA6EDA" w:rsidP="009215B1">
      <w:pPr>
        <w:spacing w:line="280" w:lineRule="atLeast"/>
        <w:rPr>
          <w:rFonts w:cs="Arial"/>
        </w:rPr>
      </w:pPr>
    </w:p>
    <w:p w14:paraId="7B088D2C" w14:textId="77777777" w:rsidR="007972D8" w:rsidRDefault="007972D8" w:rsidP="009215B1">
      <w:pPr>
        <w:spacing w:line="280" w:lineRule="atLeast"/>
        <w:jc w:val="left"/>
        <w:rPr>
          <w:rFonts w:cs="Arial"/>
          <w:b/>
          <w:kern w:val="32"/>
          <w:sz w:val="24"/>
          <w:szCs w:val="24"/>
        </w:rPr>
      </w:pPr>
      <w:bookmarkStart w:id="19" w:name="_Toc73110768"/>
      <w:r>
        <w:br w:type="page"/>
      </w:r>
    </w:p>
    <w:p w14:paraId="61F99056" w14:textId="503ACE48" w:rsidR="00831FB7" w:rsidRPr="00044967" w:rsidRDefault="00831FB7" w:rsidP="002422AE">
      <w:pPr>
        <w:pStyle w:val="berschrift1"/>
      </w:pPr>
      <w:bookmarkStart w:id="20" w:name="_Toc135811109"/>
      <w:r w:rsidRPr="00044967">
        <w:t>Ergebnisse der Corporate Carbon Footprint Erhebung</w:t>
      </w:r>
      <w:bookmarkEnd w:id="19"/>
      <w:bookmarkEnd w:id="20"/>
    </w:p>
    <w:p w14:paraId="7BAAC602" w14:textId="0996BA23" w:rsidR="00973942" w:rsidRPr="00044967" w:rsidRDefault="000C7964" w:rsidP="0049297C">
      <w:pPr>
        <w:pStyle w:val="berschrift2"/>
        <w:spacing w:after="160" w:line="280" w:lineRule="atLeast"/>
        <w:ind w:left="578" w:hanging="578"/>
        <w:rPr>
          <w:sz w:val="22"/>
          <w:szCs w:val="22"/>
        </w:rPr>
      </w:pPr>
      <w:bookmarkStart w:id="21" w:name="_Toc73110769"/>
      <w:bookmarkStart w:id="22" w:name="_Toc135811110"/>
      <w:r w:rsidRPr="00044967">
        <w:rPr>
          <w:sz w:val="22"/>
          <w:szCs w:val="22"/>
        </w:rPr>
        <w:t>Gesamte</w:t>
      </w:r>
      <w:r w:rsidR="00D76725" w:rsidRPr="00044967">
        <w:rPr>
          <w:sz w:val="22"/>
          <w:szCs w:val="22"/>
        </w:rPr>
        <w:t>missionen</w:t>
      </w:r>
      <w:bookmarkEnd w:id="21"/>
      <w:bookmarkEnd w:id="22"/>
    </w:p>
    <w:p w14:paraId="617B35E8" w14:textId="514515BE" w:rsidR="00973942" w:rsidRDefault="000A35D1" w:rsidP="009215B1">
      <w:pPr>
        <w:spacing w:line="280" w:lineRule="atLeast"/>
        <w:rPr>
          <w:rFonts w:cs="Arial"/>
        </w:rPr>
      </w:pPr>
      <w:r w:rsidRPr="00044967">
        <w:rPr>
          <w:rFonts w:cs="Arial"/>
        </w:rPr>
        <w:t>Die Gesamte</w:t>
      </w:r>
      <w:r w:rsidR="00D76725" w:rsidRPr="00044967">
        <w:rPr>
          <w:rFonts w:cs="Arial"/>
        </w:rPr>
        <w:t>missionen von</w:t>
      </w:r>
      <w:r w:rsidR="00BA77E6">
        <w:rPr>
          <w:rFonts w:cs="Arial"/>
        </w:rPr>
        <w:t xml:space="preserve"> KDE</w:t>
      </w:r>
      <w:r w:rsidR="0070227D" w:rsidRPr="00044967">
        <w:rPr>
          <w:rFonts w:cs="Arial"/>
        </w:rPr>
        <w:t>,</w:t>
      </w:r>
      <w:r w:rsidR="00973942" w:rsidRPr="00044967">
        <w:rPr>
          <w:rFonts w:cs="Arial"/>
        </w:rPr>
        <w:t xml:space="preserve"> </w:t>
      </w:r>
      <w:r w:rsidRPr="00044967">
        <w:rPr>
          <w:rFonts w:cs="Arial"/>
        </w:rPr>
        <w:t>der in diesem Bericht beschriebene</w:t>
      </w:r>
      <w:r w:rsidR="004A76A6">
        <w:rPr>
          <w:rFonts w:cs="Arial"/>
        </w:rPr>
        <w:t>n</w:t>
      </w:r>
      <w:r w:rsidRPr="00044967">
        <w:rPr>
          <w:rFonts w:cs="Arial"/>
        </w:rPr>
        <w:t xml:space="preserve"> Standorte</w:t>
      </w:r>
      <w:r w:rsidR="0070227D" w:rsidRPr="00044967">
        <w:rPr>
          <w:rFonts w:cs="Arial"/>
        </w:rPr>
        <w:t>,</w:t>
      </w:r>
      <w:r w:rsidRPr="00044967">
        <w:rPr>
          <w:rFonts w:cs="Arial"/>
        </w:rPr>
        <w:t xml:space="preserve"> im Zeitraum </w:t>
      </w:r>
      <w:r w:rsidRPr="00E83B17">
        <w:rPr>
          <w:rFonts w:cs="Arial"/>
        </w:rPr>
        <w:t>vom</w:t>
      </w:r>
      <w:r w:rsidR="0021218F" w:rsidRPr="00E83B17">
        <w:rPr>
          <w:rFonts w:cs="Arial"/>
        </w:rPr>
        <w:t xml:space="preserve"> </w:t>
      </w:r>
      <w:r w:rsidR="00BA77E6" w:rsidRPr="00E83B17">
        <w:rPr>
          <w:rFonts w:cs="Arial"/>
        </w:rPr>
        <w:t>01.0</w:t>
      </w:r>
      <w:r w:rsidR="0056300B">
        <w:rPr>
          <w:rFonts w:cs="Arial"/>
        </w:rPr>
        <w:t>1</w:t>
      </w:r>
      <w:r w:rsidR="00BA77E6" w:rsidRPr="00E83B17">
        <w:rPr>
          <w:rFonts w:cs="Arial"/>
        </w:rPr>
        <w:t>.202</w:t>
      </w:r>
      <w:r w:rsidR="002B3E78">
        <w:rPr>
          <w:rFonts w:cs="Arial"/>
        </w:rPr>
        <w:t>2</w:t>
      </w:r>
      <w:r w:rsidRPr="00E83B17">
        <w:rPr>
          <w:rFonts w:cs="Arial"/>
          <w:color w:val="FF0000"/>
        </w:rPr>
        <w:t xml:space="preserve"> </w:t>
      </w:r>
      <w:r w:rsidRPr="00E83B17">
        <w:rPr>
          <w:rFonts w:cs="Arial"/>
        </w:rPr>
        <w:t>bis</w:t>
      </w:r>
      <w:r w:rsidR="00BA77E6" w:rsidRPr="00E83B17">
        <w:rPr>
          <w:rFonts w:cs="Arial"/>
        </w:rPr>
        <w:t xml:space="preserve"> 31.12.202</w:t>
      </w:r>
      <w:r w:rsidR="002B3E78">
        <w:rPr>
          <w:rFonts w:cs="Arial"/>
        </w:rPr>
        <w:t>2</w:t>
      </w:r>
      <w:r w:rsidR="00973942" w:rsidRPr="00044967">
        <w:rPr>
          <w:rFonts w:cs="Arial"/>
        </w:rPr>
        <w:t xml:space="preserve"> </w:t>
      </w:r>
      <w:r w:rsidR="00A04DA0" w:rsidRPr="00CF2489">
        <w:rPr>
          <w:rFonts w:cs="Arial"/>
        </w:rPr>
        <w:t>betragen</w:t>
      </w:r>
      <w:r w:rsidR="006012DE" w:rsidRPr="00CF2489">
        <w:rPr>
          <w:rFonts w:cs="Arial"/>
        </w:rPr>
        <w:t xml:space="preserve"> </w:t>
      </w:r>
      <w:r w:rsidR="00D00482" w:rsidRPr="00F822C3">
        <w:rPr>
          <w:rFonts w:cs="Arial"/>
          <w:color w:val="auto"/>
        </w:rPr>
        <w:t>1.265.997</w:t>
      </w:r>
      <w:r w:rsidR="00F822C3" w:rsidRPr="00F822C3">
        <w:rPr>
          <w:rFonts w:cs="Arial"/>
          <w:color w:val="auto"/>
        </w:rPr>
        <w:t xml:space="preserve"> </w:t>
      </w:r>
      <w:r w:rsidR="00F11436" w:rsidRPr="00F822C3">
        <w:rPr>
          <w:rFonts w:cs="Arial"/>
          <w:color w:val="auto"/>
        </w:rPr>
        <w:t>kg</w:t>
      </w:r>
      <w:r w:rsidR="00F822C3">
        <w:rPr>
          <w:rFonts w:cs="Arial"/>
          <w:color w:val="auto"/>
        </w:rPr>
        <w:t xml:space="preserve"> </w:t>
      </w:r>
      <w:r w:rsidR="00735202" w:rsidRPr="00F822C3">
        <w:rPr>
          <w:rFonts w:cs="Arial"/>
          <w:color w:val="auto"/>
        </w:rPr>
        <w:t>CO</w:t>
      </w:r>
      <w:r w:rsidR="00735202" w:rsidRPr="00F822C3">
        <w:rPr>
          <w:rFonts w:cs="Arial"/>
          <w:color w:val="auto"/>
          <w:vertAlign w:val="subscript"/>
        </w:rPr>
        <w:t>2</w:t>
      </w:r>
      <w:r w:rsidR="004A76A6" w:rsidRPr="00F822C3">
        <w:rPr>
          <w:rFonts w:cs="Arial"/>
          <w:color w:val="auto"/>
        </w:rPr>
        <w:t>-</w:t>
      </w:r>
      <w:r w:rsidR="00735202" w:rsidRPr="00F822C3">
        <w:rPr>
          <w:rFonts w:cs="Arial"/>
          <w:color w:val="auto"/>
        </w:rPr>
        <w:t>Äq.</w:t>
      </w:r>
      <w:r w:rsidRPr="00F822C3">
        <w:rPr>
          <w:rFonts w:cs="Arial"/>
          <w:color w:val="auto"/>
        </w:rPr>
        <w:t xml:space="preserve"> </w:t>
      </w:r>
      <w:r w:rsidR="0070227D" w:rsidRPr="00CF2489">
        <w:rPr>
          <w:rFonts w:cs="Arial"/>
        </w:rPr>
        <w:t xml:space="preserve">Die folgende </w:t>
      </w:r>
      <w:r w:rsidR="00B30AF0" w:rsidRPr="00CF2489">
        <w:rPr>
          <w:rFonts w:cs="Arial"/>
        </w:rPr>
        <w:t>Abbildung</w:t>
      </w:r>
      <w:r w:rsidR="0070227D" w:rsidRPr="00CF2489">
        <w:rPr>
          <w:rFonts w:cs="Arial"/>
        </w:rPr>
        <w:t xml:space="preserve"> gibt eine Übersicht der </w:t>
      </w:r>
      <w:r w:rsidR="00C21887" w:rsidRPr="00CF2489">
        <w:rPr>
          <w:rFonts w:cs="Arial"/>
        </w:rPr>
        <w:t>Verteilung der Emissionen auf die einzelnen</w:t>
      </w:r>
      <w:r w:rsidR="00C21887" w:rsidRPr="00044967">
        <w:rPr>
          <w:rFonts w:cs="Arial"/>
        </w:rPr>
        <w:t xml:space="preserve"> Emissionsquellenkategorien nach Scope 1, 2 und 3.</w:t>
      </w:r>
    </w:p>
    <w:p w14:paraId="3FD8D392" w14:textId="6B1D13FE" w:rsidR="003A057D" w:rsidRDefault="003A057D" w:rsidP="009215B1">
      <w:pPr>
        <w:spacing w:line="280" w:lineRule="atLeast"/>
        <w:rPr>
          <w:rFonts w:cs="Arial"/>
        </w:rPr>
      </w:pPr>
    </w:p>
    <w:p w14:paraId="5594DD53" w14:textId="76A1C85D" w:rsidR="003A057D" w:rsidRDefault="00547988" w:rsidP="009215B1">
      <w:pPr>
        <w:spacing w:after="120" w:line="280" w:lineRule="atLeast"/>
        <w:rPr>
          <w:rFonts w:cs="Arial"/>
        </w:rPr>
      </w:pPr>
      <w:r>
        <w:rPr>
          <w:rFonts w:cs="Arial"/>
        </w:rPr>
        <w:t xml:space="preserve">Tabelle 1: </w:t>
      </w:r>
      <w:r w:rsidR="003C254E" w:rsidRPr="00914E9F">
        <w:rPr>
          <w:rFonts w:cs="Arial"/>
        </w:rPr>
        <w:t>Treibhausgase</w:t>
      </w:r>
      <w:r w:rsidRPr="00914E9F">
        <w:rPr>
          <w:rFonts w:cs="Arial"/>
        </w:rPr>
        <w:t>missionen gesamt und nach Scopes</w:t>
      </w:r>
      <w:r w:rsidR="00914E9F">
        <w:rPr>
          <w:rFonts w:cs="Arial"/>
        </w:rPr>
        <w:t xml:space="preserve"> in kg</w:t>
      </w:r>
    </w:p>
    <w:tbl>
      <w:tblPr>
        <w:tblStyle w:val="TabellemithellemGitternetz"/>
        <w:tblW w:w="0" w:type="auto"/>
        <w:tblLook w:val="04A0" w:firstRow="1" w:lastRow="0" w:firstColumn="1" w:lastColumn="0" w:noHBand="0" w:noVBand="1"/>
      </w:tblPr>
      <w:tblGrid>
        <w:gridCol w:w="1648"/>
        <w:gridCol w:w="1651"/>
        <w:gridCol w:w="1649"/>
        <w:gridCol w:w="1651"/>
        <w:gridCol w:w="1650"/>
      </w:tblGrid>
      <w:tr w:rsidR="00CF2489" w14:paraId="431AB753" w14:textId="77777777" w:rsidTr="00D65578">
        <w:tc>
          <w:tcPr>
            <w:tcW w:w="1648" w:type="dxa"/>
          </w:tcPr>
          <w:p w14:paraId="652B7A7B" w14:textId="790E2AF0" w:rsidR="00CF2489" w:rsidRDefault="00914E9F" w:rsidP="009215B1">
            <w:pPr>
              <w:spacing w:after="120" w:line="280" w:lineRule="atLeast"/>
              <w:rPr>
                <w:rFonts w:cs="Arial"/>
              </w:rPr>
            </w:pPr>
            <w:r>
              <w:rPr>
                <w:rFonts w:cs="Arial"/>
              </w:rPr>
              <w:t xml:space="preserve"> In kg</w:t>
            </w:r>
          </w:p>
        </w:tc>
        <w:tc>
          <w:tcPr>
            <w:tcW w:w="1651" w:type="dxa"/>
          </w:tcPr>
          <w:p w14:paraId="5006BEB6" w14:textId="62477ED3" w:rsidR="00CF2489" w:rsidRDefault="00CF2489" w:rsidP="009215B1">
            <w:pPr>
              <w:spacing w:after="120" w:line="280" w:lineRule="atLeast"/>
              <w:rPr>
                <w:rFonts w:cs="Arial"/>
              </w:rPr>
            </w:pPr>
            <w:r>
              <w:rPr>
                <w:rFonts w:cs="Arial"/>
              </w:rPr>
              <w:t>Gesamt</w:t>
            </w:r>
          </w:p>
        </w:tc>
        <w:tc>
          <w:tcPr>
            <w:tcW w:w="1649" w:type="dxa"/>
          </w:tcPr>
          <w:p w14:paraId="2DCF39E3" w14:textId="7012FDC5" w:rsidR="00CF2489" w:rsidRDefault="00CF2489" w:rsidP="009215B1">
            <w:pPr>
              <w:spacing w:after="120" w:line="280" w:lineRule="atLeast"/>
              <w:rPr>
                <w:rFonts w:cs="Arial"/>
              </w:rPr>
            </w:pPr>
            <w:r>
              <w:rPr>
                <w:rFonts w:cs="Arial"/>
              </w:rPr>
              <w:t>Scope 1</w:t>
            </w:r>
          </w:p>
        </w:tc>
        <w:tc>
          <w:tcPr>
            <w:tcW w:w="1651" w:type="dxa"/>
          </w:tcPr>
          <w:p w14:paraId="01EC9747" w14:textId="15F4A4A6" w:rsidR="00CF2489" w:rsidRDefault="00CF2489" w:rsidP="009215B1">
            <w:pPr>
              <w:spacing w:after="120" w:line="280" w:lineRule="atLeast"/>
              <w:rPr>
                <w:rFonts w:cs="Arial"/>
              </w:rPr>
            </w:pPr>
            <w:r>
              <w:rPr>
                <w:rFonts w:cs="Arial"/>
              </w:rPr>
              <w:t>Scope 2</w:t>
            </w:r>
          </w:p>
        </w:tc>
        <w:tc>
          <w:tcPr>
            <w:tcW w:w="1650" w:type="dxa"/>
          </w:tcPr>
          <w:p w14:paraId="6C744227" w14:textId="2B4F72BC" w:rsidR="00CF2489" w:rsidRDefault="00CF2489" w:rsidP="009215B1">
            <w:pPr>
              <w:spacing w:after="120" w:line="280" w:lineRule="atLeast"/>
              <w:rPr>
                <w:rFonts w:cs="Arial"/>
              </w:rPr>
            </w:pPr>
            <w:r>
              <w:rPr>
                <w:rFonts w:cs="Arial"/>
              </w:rPr>
              <w:t>Scope 3</w:t>
            </w:r>
          </w:p>
        </w:tc>
      </w:tr>
      <w:tr w:rsidR="00CF2489" w14:paraId="1F85E59A" w14:textId="77777777" w:rsidTr="00D65578">
        <w:tc>
          <w:tcPr>
            <w:tcW w:w="1648" w:type="dxa"/>
          </w:tcPr>
          <w:p w14:paraId="1ABDE282" w14:textId="37908C00" w:rsidR="00CF2489" w:rsidRDefault="005A4D3A" w:rsidP="00D65578">
            <w:pPr>
              <w:spacing w:after="120" w:line="280" w:lineRule="atLeast"/>
              <w:jc w:val="center"/>
              <w:rPr>
                <w:rFonts w:cs="Arial"/>
              </w:rPr>
            </w:pPr>
            <w:r>
              <w:rPr>
                <w:rFonts w:cs="Arial"/>
              </w:rPr>
              <w:t>202</w:t>
            </w:r>
            <w:r w:rsidR="00B76D40">
              <w:rPr>
                <w:rFonts w:cs="Arial"/>
              </w:rPr>
              <w:t>0</w:t>
            </w:r>
          </w:p>
        </w:tc>
        <w:tc>
          <w:tcPr>
            <w:tcW w:w="1651" w:type="dxa"/>
          </w:tcPr>
          <w:p w14:paraId="01A765B4" w14:textId="10F5046A" w:rsidR="00CF2489" w:rsidRDefault="00914E9F" w:rsidP="00D65578">
            <w:pPr>
              <w:spacing w:after="120" w:line="280" w:lineRule="atLeast"/>
              <w:jc w:val="right"/>
              <w:rPr>
                <w:rFonts w:cs="Arial"/>
              </w:rPr>
            </w:pPr>
            <w:r>
              <w:rPr>
                <w:rFonts w:cs="Arial"/>
              </w:rPr>
              <w:t>1.462.444,03</w:t>
            </w:r>
            <w:r w:rsidR="005A4D3A">
              <w:rPr>
                <w:rFonts w:cs="Arial"/>
              </w:rPr>
              <w:t xml:space="preserve"> </w:t>
            </w:r>
          </w:p>
        </w:tc>
        <w:tc>
          <w:tcPr>
            <w:tcW w:w="1649" w:type="dxa"/>
          </w:tcPr>
          <w:p w14:paraId="0DF56104" w14:textId="5CE93300" w:rsidR="00CF2489" w:rsidRDefault="00914E9F" w:rsidP="00D65578">
            <w:pPr>
              <w:spacing w:after="120" w:line="280" w:lineRule="atLeast"/>
              <w:jc w:val="right"/>
              <w:rPr>
                <w:rFonts w:cs="Arial"/>
              </w:rPr>
            </w:pPr>
            <w:r>
              <w:rPr>
                <w:rFonts w:cs="Arial"/>
              </w:rPr>
              <w:t>327.431,47</w:t>
            </w:r>
          </w:p>
        </w:tc>
        <w:tc>
          <w:tcPr>
            <w:tcW w:w="1651" w:type="dxa"/>
          </w:tcPr>
          <w:p w14:paraId="199799E4" w14:textId="0DC93C1D" w:rsidR="00CF2489" w:rsidRDefault="00914E9F" w:rsidP="00D65578">
            <w:pPr>
              <w:spacing w:after="120" w:line="280" w:lineRule="atLeast"/>
              <w:jc w:val="right"/>
              <w:rPr>
                <w:rFonts w:cs="Arial"/>
              </w:rPr>
            </w:pPr>
            <w:r>
              <w:rPr>
                <w:rFonts w:cs="Arial"/>
              </w:rPr>
              <w:t>3.048,97</w:t>
            </w:r>
          </w:p>
        </w:tc>
        <w:tc>
          <w:tcPr>
            <w:tcW w:w="1650" w:type="dxa"/>
          </w:tcPr>
          <w:p w14:paraId="67F79116" w14:textId="704E0C4A" w:rsidR="00CF2489" w:rsidRDefault="00914E9F" w:rsidP="00D65578">
            <w:pPr>
              <w:spacing w:after="120" w:line="280" w:lineRule="atLeast"/>
              <w:jc w:val="right"/>
              <w:rPr>
                <w:rFonts w:cs="Arial"/>
              </w:rPr>
            </w:pPr>
            <w:r>
              <w:rPr>
                <w:rFonts w:cs="Arial"/>
              </w:rPr>
              <w:t>1.131.963,59</w:t>
            </w:r>
          </w:p>
        </w:tc>
      </w:tr>
      <w:tr w:rsidR="00914E9F" w14:paraId="474D6DB0" w14:textId="77777777" w:rsidTr="00914E9F">
        <w:tc>
          <w:tcPr>
            <w:tcW w:w="1648" w:type="dxa"/>
          </w:tcPr>
          <w:p w14:paraId="39ED4B93" w14:textId="3F57AB59" w:rsidR="00914E9F" w:rsidRDefault="00914E9F" w:rsidP="00D65578">
            <w:pPr>
              <w:spacing w:after="120" w:line="280" w:lineRule="atLeast"/>
              <w:jc w:val="center"/>
              <w:rPr>
                <w:rFonts w:cs="Arial"/>
              </w:rPr>
            </w:pPr>
            <w:r>
              <w:rPr>
                <w:rFonts w:cs="Arial"/>
              </w:rPr>
              <w:t>202</w:t>
            </w:r>
            <w:r w:rsidR="00B76D40">
              <w:rPr>
                <w:rFonts w:cs="Arial"/>
              </w:rPr>
              <w:t>1</w:t>
            </w:r>
          </w:p>
        </w:tc>
        <w:tc>
          <w:tcPr>
            <w:tcW w:w="1651" w:type="dxa"/>
          </w:tcPr>
          <w:p w14:paraId="5F790C02" w14:textId="6E795FF1" w:rsidR="00914E9F" w:rsidRPr="00D65578" w:rsidRDefault="00914E9F" w:rsidP="00D65578">
            <w:pPr>
              <w:spacing w:after="120" w:line="280" w:lineRule="atLeast"/>
              <w:jc w:val="right"/>
              <w:rPr>
                <w:rFonts w:cs="Arial"/>
                <w:color w:val="auto"/>
              </w:rPr>
            </w:pPr>
            <w:r w:rsidRPr="00D65578">
              <w:rPr>
                <w:rFonts w:cs="Arial"/>
                <w:color w:val="auto"/>
              </w:rPr>
              <w:t>1.894.524,61</w:t>
            </w:r>
          </w:p>
        </w:tc>
        <w:tc>
          <w:tcPr>
            <w:tcW w:w="1649" w:type="dxa"/>
          </w:tcPr>
          <w:p w14:paraId="41CE9F1D" w14:textId="41A0E5C2" w:rsidR="00914E9F" w:rsidRPr="00E05256" w:rsidRDefault="00914E9F" w:rsidP="00D65578">
            <w:pPr>
              <w:spacing w:after="120" w:line="280" w:lineRule="atLeast"/>
              <w:jc w:val="right"/>
              <w:rPr>
                <w:rFonts w:cs="Arial"/>
              </w:rPr>
            </w:pPr>
            <w:r w:rsidRPr="00E05256">
              <w:rPr>
                <w:rFonts w:cs="Arial"/>
              </w:rPr>
              <w:t>333.405,72</w:t>
            </w:r>
          </w:p>
        </w:tc>
        <w:tc>
          <w:tcPr>
            <w:tcW w:w="1651" w:type="dxa"/>
          </w:tcPr>
          <w:p w14:paraId="2EBAF513" w14:textId="1CC62A54" w:rsidR="00914E9F" w:rsidRPr="00E05256" w:rsidRDefault="00914E9F" w:rsidP="00D65578">
            <w:pPr>
              <w:spacing w:after="120" w:line="280" w:lineRule="atLeast"/>
              <w:jc w:val="right"/>
              <w:rPr>
                <w:rFonts w:cs="Arial"/>
              </w:rPr>
            </w:pPr>
            <w:r w:rsidRPr="00E05256">
              <w:rPr>
                <w:rFonts w:cs="Arial"/>
              </w:rPr>
              <w:t>342,72</w:t>
            </w:r>
          </w:p>
        </w:tc>
        <w:tc>
          <w:tcPr>
            <w:tcW w:w="1650" w:type="dxa"/>
          </w:tcPr>
          <w:p w14:paraId="5558B610" w14:textId="79528F0F" w:rsidR="00914E9F" w:rsidRPr="00D65578" w:rsidRDefault="00914E9F" w:rsidP="00D65578">
            <w:pPr>
              <w:spacing w:after="120" w:line="280" w:lineRule="atLeast"/>
              <w:jc w:val="right"/>
              <w:rPr>
                <w:rFonts w:cs="Arial"/>
                <w:color w:val="FF0000"/>
              </w:rPr>
            </w:pPr>
            <w:r w:rsidRPr="00E05256">
              <w:rPr>
                <w:rFonts w:cs="Arial"/>
              </w:rPr>
              <w:t>1.560.776,17</w:t>
            </w:r>
          </w:p>
        </w:tc>
      </w:tr>
      <w:tr w:rsidR="00914E9F" w14:paraId="476435A6" w14:textId="77777777" w:rsidTr="00914E9F">
        <w:tc>
          <w:tcPr>
            <w:tcW w:w="1648" w:type="dxa"/>
          </w:tcPr>
          <w:p w14:paraId="320919CE" w14:textId="21555CE3" w:rsidR="00914E9F" w:rsidRDefault="00914E9F" w:rsidP="00D65578">
            <w:pPr>
              <w:spacing w:after="120" w:line="280" w:lineRule="atLeast"/>
              <w:jc w:val="center"/>
              <w:rPr>
                <w:rFonts w:cs="Arial"/>
              </w:rPr>
            </w:pPr>
            <w:r>
              <w:rPr>
                <w:rFonts w:cs="Arial"/>
              </w:rPr>
              <w:t>202</w:t>
            </w:r>
            <w:r w:rsidR="00B76D40">
              <w:rPr>
                <w:rFonts w:cs="Arial"/>
              </w:rPr>
              <w:t>2</w:t>
            </w:r>
          </w:p>
        </w:tc>
        <w:tc>
          <w:tcPr>
            <w:tcW w:w="1651" w:type="dxa"/>
          </w:tcPr>
          <w:p w14:paraId="222FD146" w14:textId="49AE7579" w:rsidR="00914E9F" w:rsidRPr="00F822C3" w:rsidRDefault="00D00482" w:rsidP="004B2418">
            <w:pPr>
              <w:jc w:val="right"/>
              <w:rPr>
                <w:rFonts w:cs="Arial"/>
                <w:color w:val="auto"/>
              </w:rPr>
            </w:pPr>
            <w:r w:rsidRPr="00F822C3">
              <w:rPr>
                <w:rFonts w:cs="Arial"/>
                <w:color w:val="auto"/>
              </w:rPr>
              <w:t>1.265.997,10</w:t>
            </w:r>
          </w:p>
        </w:tc>
        <w:tc>
          <w:tcPr>
            <w:tcW w:w="1649" w:type="dxa"/>
          </w:tcPr>
          <w:p w14:paraId="1F7C3150" w14:textId="417BDC59" w:rsidR="00914E9F" w:rsidRPr="00F822C3" w:rsidRDefault="002B3E78" w:rsidP="00D65578">
            <w:pPr>
              <w:spacing w:after="120" w:line="280" w:lineRule="atLeast"/>
              <w:jc w:val="right"/>
              <w:rPr>
                <w:rFonts w:cs="Arial"/>
                <w:color w:val="auto"/>
              </w:rPr>
            </w:pPr>
            <w:r w:rsidRPr="00F822C3">
              <w:rPr>
                <w:rFonts w:cs="Arial"/>
                <w:color w:val="auto"/>
              </w:rPr>
              <w:t>299.535,22</w:t>
            </w:r>
          </w:p>
        </w:tc>
        <w:tc>
          <w:tcPr>
            <w:tcW w:w="1651" w:type="dxa"/>
          </w:tcPr>
          <w:p w14:paraId="7A7C9D74" w14:textId="1397600D" w:rsidR="00914E9F" w:rsidRDefault="002B3E78" w:rsidP="00D65578">
            <w:pPr>
              <w:spacing w:after="120" w:line="280" w:lineRule="atLeast"/>
              <w:jc w:val="right"/>
              <w:rPr>
                <w:rFonts w:cs="Arial"/>
              </w:rPr>
            </w:pPr>
            <w:r>
              <w:rPr>
                <w:rFonts w:cs="Arial"/>
              </w:rPr>
              <w:t>0,00</w:t>
            </w:r>
          </w:p>
        </w:tc>
        <w:tc>
          <w:tcPr>
            <w:tcW w:w="1650" w:type="dxa"/>
          </w:tcPr>
          <w:p w14:paraId="19B171B7" w14:textId="359E5507" w:rsidR="00914E9F" w:rsidRDefault="00017968" w:rsidP="00D65578">
            <w:pPr>
              <w:spacing w:after="120" w:line="280" w:lineRule="atLeast"/>
              <w:jc w:val="right"/>
              <w:rPr>
                <w:rFonts w:cs="Arial"/>
              </w:rPr>
            </w:pPr>
            <w:r>
              <w:rPr>
                <w:rFonts w:cs="Arial"/>
              </w:rPr>
              <w:t>966.461,88</w:t>
            </w:r>
          </w:p>
        </w:tc>
      </w:tr>
      <w:tr w:rsidR="00914E9F" w14:paraId="5C189ED3" w14:textId="77777777" w:rsidTr="00914E9F">
        <w:tc>
          <w:tcPr>
            <w:tcW w:w="1648" w:type="dxa"/>
          </w:tcPr>
          <w:p w14:paraId="00B14CB9" w14:textId="62D924FD" w:rsidR="00914E9F" w:rsidRDefault="00914E9F" w:rsidP="00D65578">
            <w:pPr>
              <w:spacing w:after="120" w:line="280" w:lineRule="atLeast"/>
              <w:jc w:val="center"/>
              <w:rPr>
                <w:rFonts w:cs="Arial"/>
              </w:rPr>
            </w:pPr>
            <w:r>
              <w:rPr>
                <w:rFonts w:cs="Arial"/>
              </w:rPr>
              <w:t>202</w:t>
            </w:r>
            <w:r w:rsidR="00B76D40">
              <w:rPr>
                <w:rFonts w:cs="Arial"/>
              </w:rPr>
              <w:t>3</w:t>
            </w:r>
          </w:p>
        </w:tc>
        <w:tc>
          <w:tcPr>
            <w:tcW w:w="1651" w:type="dxa"/>
          </w:tcPr>
          <w:p w14:paraId="2CD916B2" w14:textId="77777777" w:rsidR="00914E9F" w:rsidRDefault="00914E9F" w:rsidP="00D65578">
            <w:pPr>
              <w:spacing w:after="120" w:line="280" w:lineRule="atLeast"/>
              <w:jc w:val="right"/>
              <w:rPr>
                <w:rFonts w:cs="Arial"/>
              </w:rPr>
            </w:pPr>
          </w:p>
        </w:tc>
        <w:tc>
          <w:tcPr>
            <w:tcW w:w="1649" w:type="dxa"/>
          </w:tcPr>
          <w:p w14:paraId="1F487B11" w14:textId="77777777" w:rsidR="00914E9F" w:rsidRDefault="00914E9F" w:rsidP="00D65578">
            <w:pPr>
              <w:spacing w:after="120" w:line="280" w:lineRule="atLeast"/>
              <w:jc w:val="right"/>
              <w:rPr>
                <w:rFonts w:cs="Arial"/>
              </w:rPr>
            </w:pPr>
          </w:p>
        </w:tc>
        <w:tc>
          <w:tcPr>
            <w:tcW w:w="1651" w:type="dxa"/>
          </w:tcPr>
          <w:p w14:paraId="3AA5F655" w14:textId="77777777" w:rsidR="00914E9F" w:rsidRDefault="00914E9F" w:rsidP="00D65578">
            <w:pPr>
              <w:spacing w:after="120" w:line="280" w:lineRule="atLeast"/>
              <w:jc w:val="right"/>
              <w:rPr>
                <w:rFonts w:cs="Arial"/>
              </w:rPr>
            </w:pPr>
          </w:p>
        </w:tc>
        <w:tc>
          <w:tcPr>
            <w:tcW w:w="1650" w:type="dxa"/>
          </w:tcPr>
          <w:p w14:paraId="0BE7F116" w14:textId="77777777" w:rsidR="00914E9F" w:rsidRDefault="00914E9F" w:rsidP="00D65578">
            <w:pPr>
              <w:spacing w:after="120" w:line="280" w:lineRule="atLeast"/>
              <w:jc w:val="right"/>
              <w:rPr>
                <w:rFonts w:cs="Arial"/>
              </w:rPr>
            </w:pPr>
          </w:p>
        </w:tc>
      </w:tr>
      <w:tr w:rsidR="00914E9F" w14:paraId="49294D8C" w14:textId="77777777" w:rsidTr="00914E9F">
        <w:tc>
          <w:tcPr>
            <w:tcW w:w="1648" w:type="dxa"/>
          </w:tcPr>
          <w:p w14:paraId="74F90E10" w14:textId="3F6CE46A" w:rsidR="00914E9F" w:rsidRDefault="00914E9F" w:rsidP="00D65578">
            <w:pPr>
              <w:spacing w:after="120" w:line="280" w:lineRule="atLeast"/>
              <w:jc w:val="center"/>
              <w:rPr>
                <w:rFonts w:cs="Arial"/>
              </w:rPr>
            </w:pPr>
            <w:r>
              <w:rPr>
                <w:rFonts w:cs="Arial"/>
              </w:rPr>
              <w:t>202</w:t>
            </w:r>
            <w:r w:rsidR="00B76D40">
              <w:rPr>
                <w:rFonts w:cs="Arial"/>
              </w:rPr>
              <w:t>4</w:t>
            </w:r>
          </w:p>
        </w:tc>
        <w:tc>
          <w:tcPr>
            <w:tcW w:w="1651" w:type="dxa"/>
          </w:tcPr>
          <w:p w14:paraId="119D7D84" w14:textId="77777777" w:rsidR="00914E9F" w:rsidRDefault="00914E9F" w:rsidP="00D65578">
            <w:pPr>
              <w:spacing w:after="120" w:line="280" w:lineRule="atLeast"/>
              <w:jc w:val="right"/>
              <w:rPr>
                <w:rFonts w:cs="Arial"/>
              </w:rPr>
            </w:pPr>
          </w:p>
        </w:tc>
        <w:tc>
          <w:tcPr>
            <w:tcW w:w="1649" w:type="dxa"/>
          </w:tcPr>
          <w:p w14:paraId="61E4F49D" w14:textId="77777777" w:rsidR="00914E9F" w:rsidRDefault="00914E9F" w:rsidP="00D65578">
            <w:pPr>
              <w:spacing w:after="120" w:line="280" w:lineRule="atLeast"/>
              <w:jc w:val="right"/>
              <w:rPr>
                <w:rFonts w:cs="Arial"/>
              </w:rPr>
            </w:pPr>
          </w:p>
        </w:tc>
        <w:tc>
          <w:tcPr>
            <w:tcW w:w="1651" w:type="dxa"/>
          </w:tcPr>
          <w:p w14:paraId="278905B3" w14:textId="77777777" w:rsidR="00914E9F" w:rsidRDefault="00914E9F" w:rsidP="00D65578">
            <w:pPr>
              <w:spacing w:after="120" w:line="280" w:lineRule="atLeast"/>
              <w:jc w:val="right"/>
              <w:rPr>
                <w:rFonts w:cs="Arial"/>
              </w:rPr>
            </w:pPr>
          </w:p>
        </w:tc>
        <w:tc>
          <w:tcPr>
            <w:tcW w:w="1650" w:type="dxa"/>
          </w:tcPr>
          <w:p w14:paraId="4EAC75A0" w14:textId="77777777" w:rsidR="00914E9F" w:rsidRDefault="00914E9F" w:rsidP="00D65578">
            <w:pPr>
              <w:spacing w:after="120" w:line="280" w:lineRule="atLeast"/>
              <w:jc w:val="right"/>
              <w:rPr>
                <w:rFonts w:cs="Arial"/>
              </w:rPr>
            </w:pPr>
          </w:p>
        </w:tc>
      </w:tr>
    </w:tbl>
    <w:p w14:paraId="644AE232" w14:textId="4F837C91" w:rsidR="00CF2489" w:rsidRDefault="00CF2489" w:rsidP="009215B1">
      <w:pPr>
        <w:spacing w:line="280" w:lineRule="atLeast"/>
        <w:rPr>
          <w:rFonts w:cs="Arial"/>
        </w:rPr>
      </w:pPr>
    </w:p>
    <w:p w14:paraId="684EA23C" w14:textId="77777777" w:rsidR="00CF2489" w:rsidRDefault="00CF2489" w:rsidP="009215B1">
      <w:pPr>
        <w:spacing w:line="280" w:lineRule="atLeast"/>
        <w:rPr>
          <w:rFonts w:cs="Arial"/>
        </w:rPr>
      </w:pPr>
    </w:p>
    <w:p w14:paraId="081773EE" w14:textId="0331E4B9" w:rsidR="003A057D" w:rsidRDefault="003A057D" w:rsidP="009215B1">
      <w:pPr>
        <w:spacing w:line="280" w:lineRule="atLeast"/>
        <w:rPr>
          <w:rFonts w:cs="Arial"/>
        </w:rPr>
      </w:pPr>
    </w:p>
    <w:p w14:paraId="54A72AFD" w14:textId="540917F4" w:rsidR="002B3E78" w:rsidRDefault="002B3E78" w:rsidP="009215B1">
      <w:pPr>
        <w:spacing w:line="280" w:lineRule="atLeast"/>
        <w:rPr>
          <w:rFonts w:cs="Arial"/>
        </w:rPr>
      </w:pPr>
      <w:r>
        <w:rPr>
          <w:noProof/>
        </w:rPr>
        <w:drawing>
          <wp:inline distT="0" distB="0" distL="0" distR="0" wp14:anchorId="7BE8CE8B" wp14:editId="6CF4D5A1">
            <wp:extent cx="3219450" cy="3143250"/>
            <wp:effectExtent l="0" t="0" r="0" b="0"/>
            <wp:docPr id="937672156" name="Diagramm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00F69D" w14:textId="5A65EDCC" w:rsidR="00E846B9" w:rsidRDefault="00E846B9" w:rsidP="009215B1">
      <w:pPr>
        <w:pStyle w:val="Beschriftung"/>
        <w:tabs>
          <w:tab w:val="clear" w:pos="851"/>
          <w:tab w:val="left" w:pos="0"/>
        </w:tabs>
        <w:spacing w:line="280" w:lineRule="atLeast"/>
        <w:ind w:left="0"/>
        <w:rPr>
          <w:color w:val="auto"/>
          <w:sz w:val="22"/>
        </w:rPr>
      </w:pPr>
      <w:r w:rsidRPr="00044967">
        <w:rPr>
          <w:color w:val="auto"/>
          <w:sz w:val="22"/>
        </w:rPr>
        <w:t xml:space="preserve">Abbildung </w:t>
      </w:r>
      <w:r w:rsidRPr="00044967">
        <w:rPr>
          <w:color w:val="auto"/>
          <w:sz w:val="22"/>
        </w:rPr>
        <w:fldChar w:fldCharType="begin"/>
      </w:r>
      <w:r w:rsidRPr="00044967">
        <w:rPr>
          <w:color w:val="auto"/>
          <w:sz w:val="22"/>
        </w:rPr>
        <w:instrText xml:space="preserve"> SEQ Abbildung \* ARABIC </w:instrText>
      </w:r>
      <w:r w:rsidRPr="00044967">
        <w:rPr>
          <w:color w:val="auto"/>
          <w:sz w:val="22"/>
        </w:rPr>
        <w:fldChar w:fldCharType="separate"/>
      </w:r>
      <w:r w:rsidR="004C77B6">
        <w:rPr>
          <w:noProof/>
          <w:color w:val="auto"/>
          <w:sz w:val="22"/>
        </w:rPr>
        <w:t>1</w:t>
      </w:r>
      <w:r w:rsidRPr="00044967">
        <w:rPr>
          <w:color w:val="auto"/>
          <w:sz w:val="22"/>
        </w:rPr>
        <w:fldChar w:fldCharType="end"/>
      </w:r>
      <w:r w:rsidRPr="00044967">
        <w:rPr>
          <w:color w:val="auto"/>
          <w:sz w:val="22"/>
        </w:rPr>
        <w:t xml:space="preserve">: </w:t>
      </w:r>
      <w:r w:rsidR="003C254E" w:rsidRPr="00CF2489">
        <w:rPr>
          <w:color w:val="auto"/>
          <w:sz w:val="22"/>
        </w:rPr>
        <w:t>Treibhausgase</w:t>
      </w:r>
      <w:r w:rsidRPr="00CF2489">
        <w:rPr>
          <w:color w:val="auto"/>
          <w:sz w:val="22"/>
        </w:rPr>
        <w:t>missionen nach Scope</w:t>
      </w:r>
      <w:r w:rsidR="00C5290B" w:rsidRPr="00CF2489">
        <w:rPr>
          <w:color w:val="auto"/>
          <w:sz w:val="22"/>
        </w:rPr>
        <w:t>s</w:t>
      </w:r>
    </w:p>
    <w:p w14:paraId="7DB8DEB0" w14:textId="36D1A7ED" w:rsidR="00C5290B" w:rsidRDefault="00C5290B" w:rsidP="009215B1">
      <w:pPr>
        <w:spacing w:line="280" w:lineRule="atLeast"/>
      </w:pPr>
    </w:p>
    <w:p w14:paraId="21342CDD" w14:textId="0BD0779D" w:rsidR="00C5290B" w:rsidRPr="00C5290B" w:rsidRDefault="00C5290B" w:rsidP="009215B1">
      <w:pPr>
        <w:spacing w:line="280" w:lineRule="atLeast"/>
      </w:pPr>
    </w:p>
    <w:p w14:paraId="55ABC99C" w14:textId="4F58DBED" w:rsidR="00973942" w:rsidRPr="00044967" w:rsidRDefault="00973942" w:rsidP="009215B1">
      <w:pPr>
        <w:spacing w:line="280" w:lineRule="atLeast"/>
        <w:rPr>
          <w:rFonts w:cs="Arial"/>
          <w:b/>
        </w:rPr>
      </w:pPr>
    </w:p>
    <w:p w14:paraId="3A625BFC" w14:textId="3392F3F2" w:rsidR="00973942" w:rsidRPr="00547988" w:rsidRDefault="005A4D3A" w:rsidP="0049297C">
      <w:pPr>
        <w:pStyle w:val="berschrift2"/>
        <w:spacing w:after="160" w:line="280" w:lineRule="atLeast"/>
        <w:ind w:left="578" w:hanging="578"/>
        <w:rPr>
          <w:sz w:val="22"/>
          <w:szCs w:val="22"/>
        </w:rPr>
      </w:pPr>
      <w:bookmarkStart w:id="23" w:name="_Toc104967240"/>
      <w:bookmarkStart w:id="24" w:name="_Toc134718476"/>
      <w:bookmarkStart w:id="25" w:name="_Toc134718618"/>
      <w:bookmarkStart w:id="26" w:name="_Toc134718808"/>
      <w:bookmarkStart w:id="27" w:name="_Toc134727108"/>
      <w:bookmarkStart w:id="28" w:name="_Toc134727249"/>
      <w:bookmarkStart w:id="29" w:name="_Toc134727699"/>
      <w:bookmarkStart w:id="30" w:name="_Toc134727843"/>
      <w:bookmarkStart w:id="31" w:name="_Toc134728244"/>
      <w:bookmarkStart w:id="32" w:name="_Toc104967241"/>
      <w:bookmarkStart w:id="33" w:name="_Toc134718477"/>
      <w:bookmarkStart w:id="34" w:name="_Toc134718619"/>
      <w:bookmarkStart w:id="35" w:name="_Toc134718809"/>
      <w:bookmarkStart w:id="36" w:name="_Toc134727109"/>
      <w:bookmarkStart w:id="37" w:name="_Toc134727250"/>
      <w:bookmarkStart w:id="38" w:name="_Toc134727700"/>
      <w:bookmarkStart w:id="39" w:name="_Toc134727844"/>
      <w:bookmarkStart w:id="40" w:name="_Toc134728245"/>
      <w:bookmarkStart w:id="41" w:name="_Toc104967242"/>
      <w:bookmarkStart w:id="42" w:name="_Toc134718478"/>
      <w:bookmarkStart w:id="43" w:name="_Toc134718620"/>
      <w:bookmarkStart w:id="44" w:name="_Toc134718810"/>
      <w:bookmarkStart w:id="45" w:name="_Toc134727110"/>
      <w:bookmarkStart w:id="46" w:name="_Toc134727251"/>
      <w:bookmarkStart w:id="47" w:name="_Toc134727701"/>
      <w:bookmarkStart w:id="48" w:name="_Toc134727845"/>
      <w:bookmarkStart w:id="49" w:name="_Toc134728246"/>
      <w:bookmarkStart w:id="50" w:name="_Toc104967243"/>
      <w:bookmarkStart w:id="51" w:name="_Toc134718479"/>
      <w:bookmarkStart w:id="52" w:name="_Toc134718621"/>
      <w:bookmarkStart w:id="53" w:name="_Toc134718811"/>
      <w:bookmarkStart w:id="54" w:name="_Toc134727111"/>
      <w:bookmarkStart w:id="55" w:name="_Toc134727252"/>
      <w:bookmarkStart w:id="56" w:name="_Toc134727702"/>
      <w:bookmarkStart w:id="57" w:name="_Toc134727846"/>
      <w:bookmarkStart w:id="58" w:name="_Toc134728247"/>
      <w:bookmarkStart w:id="59" w:name="_Toc104967244"/>
      <w:bookmarkStart w:id="60" w:name="_Toc134718480"/>
      <w:bookmarkStart w:id="61" w:name="_Toc134718622"/>
      <w:bookmarkStart w:id="62" w:name="_Toc134718812"/>
      <w:bookmarkStart w:id="63" w:name="_Toc134727112"/>
      <w:bookmarkStart w:id="64" w:name="_Toc134727253"/>
      <w:bookmarkStart w:id="65" w:name="_Toc134727703"/>
      <w:bookmarkStart w:id="66" w:name="_Toc134727847"/>
      <w:bookmarkStart w:id="67" w:name="_Toc134728248"/>
      <w:bookmarkStart w:id="68" w:name="_Toc104967245"/>
      <w:bookmarkStart w:id="69" w:name="_Toc134718481"/>
      <w:bookmarkStart w:id="70" w:name="_Toc134718623"/>
      <w:bookmarkStart w:id="71" w:name="_Toc134718813"/>
      <w:bookmarkStart w:id="72" w:name="_Toc134727113"/>
      <w:bookmarkStart w:id="73" w:name="_Toc134727254"/>
      <w:bookmarkStart w:id="74" w:name="_Toc134727704"/>
      <w:bookmarkStart w:id="75" w:name="_Toc134727848"/>
      <w:bookmarkStart w:id="76" w:name="_Toc134728249"/>
      <w:bookmarkStart w:id="77" w:name="_Toc104967246"/>
      <w:bookmarkStart w:id="78" w:name="_Toc134718482"/>
      <w:bookmarkStart w:id="79" w:name="_Toc134718624"/>
      <w:bookmarkStart w:id="80" w:name="_Toc134718814"/>
      <w:bookmarkStart w:id="81" w:name="_Toc134727114"/>
      <w:bookmarkStart w:id="82" w:name="_Toc134727255"/>
      <w:bookmarkStart w:id="83" w:name="_Toc134727705"/>
      <w:bookmarkStart w:id="84" w:name="_Toc134727849"/>
      <w:bookmarkStart w:id="85" w:name="_Toc134728250"/>
      <w:bookmarkStart w:id="86" w:name="_Toc104967247"/>
      <w:bookmarkStart w:id="87" w:name="_Toc134718483"/>
      <w:bookmarkStart w:id="88" w:name="_Toc134718625"/>
      <w:bookmarkStart w:id="89" w:name="_Toc134718815"/>
      <w:bookmarkStart w:id="90" w:name="_Toc134727115"/>
      <w:bookmarkStart w:id="91" w:name="_Toc134727256"/>
      <w:bookmarkStart w:id="92" w:name="_Toc134727706"/>
      <w:bookmarkStart w:id="93" w:name="_Toc134727850"/>
      <w:bookmarkStart w:id="94" w:name="_Toc134728251"/>
      <w:bookmarkStart w:id="95" w:name="_Toc104967248"/>
      <w:bookmarkStart w:id="96" w:name="_Toc134718484"/>
      <w:bookmarkStart w:id="97" w:name="_Toc134718626"/>
      <w:bookmarkStart w:id="98" w:name="_Toc134718816"/>
      <w:bookmarkStart w:id="99" w:name="_Toc134727116"/>
      <w:bookmarkStart w:id="100" w:name="_Toc134727257"/>
      <w:bookmarkStart w:id="101" w:name="_Toc134727707"/>
      <w:bookmarkStart w:id="102" w:name="_Toc134727851"/>
      <w:bookmarkStart w:id="103" w:name="_Toc134728252"/>
      <w:bookmarkStart w:id="104" w:name="_Toc104967249"/>
      <w:bookmarkStart w:id="105" w:name="_Toc134718485"/>
      <w:bookmarkStart w:id="106" w:name="_Toc134718627"/>
      <w:bookmarkStart w:id="107" w:name="_Toc134718817"/>
      <w:bookmarkStart w:id="108" w:name="_Toc134727117"/>
      <w:bookmarkStart w:id="109" w:name="_Toc134727258"/>
      <w:bookmarkStart w:id="110" w:name="_Toc134727708"/>
      <w:bookmarkStart w:id="111" w:name="_Toc134727852"/>
      <w:bookmarkStart w:id="112" w:name="_Toc134728253"/>
      <w:bookmarkStart w:id="113" w:name="_Toc104967250"/>
      <w:bookmarkStart w:id="114" w:name="_Toc134718486"/>
      <w:bookmarkStart w:id="115" w:name="_Toc134718628"/>
      <w:bookmarkStart w:id="116" w:name="_Toc134718818"/>
      <w:bookmarkStart w:id="117" w:name="_Toc134727118"/>
      <w:bookmarkStart w:id="118" w:name="_Toc134727259"/>
      <w:bookmarkStart w:id="119" w:name="_Toc134727709"/>
      <w:bookmarkStart w:id="120" w:name="_Toc134727853"/>
      <w:bookmarkStart w:id="121" w:name="_Toc134728254"/>
      <w:bookmarkStart w:id="122" w:name="_Toc104967251"/>
      <w:bookmarkStart w:id="123" w:name="_Toc134718487"/>
      <w:bookmarkStart w:id="124" w:name="_Toc134718629"/>
      <w:bookmarkStart w:id="125" w:name="_Toc134718819"/>
      <w:bookmarkStart w:id="126" w:name="_Toc134727119"/>
      <w:bookmarkStart w:id="127" w:name="_Toc134727260"/>
      <w:bookmarkStart w:id="128" w:name="_Toc134727710"/>
      <w:bookmarkStart w:id="129" w:name="_Toc134727854"/>
      <w:bookmarkStart w:id="130" w:name="_Toc134728255"/>
      <w:bookmarkStart w:id="131" w:name="_Toc104967252"/>
      <w:bookmarkStart w:id="132" w:name="_Toc134718488"/>
      <w:bookmarkStart w:id="133" w:name="_Toc134718630"/>
      <w:bookmarkStart w:id="134" w:name="_Toc134718820"/>
      <w:bookmarkStart w:id="135" w:name="_Toc134727120"/>
      <w:bookmarkStart w:id="136" w:name="_Toc134727261"/>
      <w:bookmarkStart w:id="137" w:name="_Toc134727711"/>
      <w:bookmarkStart w:id="138" w:name="_Toc134727855"/>
      <w:bookmarkStart w:id="139" w:name="_Toc134728256"/>
      <w:bookmarkStart w:id="140" w:name="_Toc104967253"/>
      <w:bookmarkStart w:id="141" w:name="_Toc134718489"/>
      <w:bookmarkStart w:id="142" w:name="_Toc134718631"/>
      <w:bookmarkStart w:id="143" w:name="_Toc134718821"/>
      <w:bookmarkStart w:id="144" w:name="_Toc134727121"/>
      <w:bookmarkStart w:id="145" w:name="_Toc134727262"/>
      <w:bookmarkStart w:id="146" w:name="_Toc134727712"/>
      <w:bookmarkStart w:id="147" w:name="_Toc134727856"/>
      <w:bookmarkStart w:id="148" w:name="_Toc134728257"/>
      <w:bookmarkStart w:id="149" w:name="_Toc104967254"/>
      <w:bookmarkStart w:id="150" w:name="_Toc134718490"/>
      <w:bookmarkStart w:id="151" w:name="_Toc134718632"/>
      <w:bookmarkStart w:id="152" w:name="_Toc134718822"/>
      <w:bookmarkStart w:id="153" w:name="_Toc134727122"/>
      <w:bookmarkStart w:id="154" w:name="_Toc134727263"/>
      <w:bookmarkStart w:id="155" w:name="_Toc134727713"/>
      <w:bookmarkStart w:id="156" w:name="_Toc134727857"/>
      <w:bookmarkStart w:id="157" w:name="_Toc134728258"/>
      <w:bookmarkStart w:id="158" w:name="_Toc104967255"/>
      <w:bookmarkStart w:id="159" w:name="_Toc134718491"/>
      <w:bookmarkStart w:id="160" w:name="_Toc134718633"/>
      <w:bookmarkStart w:id="161" w:name="_Toc134718823"/>
      <w:bookmarkStart w:id="162" w:name="_Toc134727123"/>
      <w:bookmarkStart w:id="163" w:name="_Toc134727264"/>
      <w:bookmarkStart w:id="164" w:name="_Toc134727714"/>
      <w:bookmarkStart w:id="165" w:name="_Toc134727858"/>
      <w:bookmarkStart w:id="166" w:name="_Toc134728259"/>
      <w:bookmarkStart w:id="167" w:name="_Toc104967256"/>
      <w:bookmarkStart w:id="168" w:name="_Toc134718492"/>
      <w:bookmarkStart w:id="169" w:name="_Toc134718634"/>
      <w:bookmarkStart w:id="170" w:name="_Toc134718824"/>
      <w:bookmarkStart w:id="171" w:name="_Toc134727124"/>
      <w:bookmarkStart w:id="172" w:name="_Toc134727265"/>
      <w:bookmarkStart w:id="173" w:name="_Toc134727715"/>
      <w:bookmarkStart w:id="174" w:name="_Toc134727859"/>
      <w:bookmarkStart w:id="175" w:name="_Toc134728260"/>
      <w:bookmarkStart w:id="176" w:name="_Toc104967257"/>
      <w:bookmarkStart w:id="177" w:name="_Toc134718493"/>
      <w:bookmarkStart w:id="178" w:name="_Toc134718635"/>
      <w:bookmarkStart w:id="179" w:name="_Toc134718825"/>
      <w:bookmarkStart w:id="180" w:name="_Toc134727125"/>
      <w:bookmarkStart w:id="181" w:name="_Toc134727266"/>
      <w:bookmarkStart w:id="182" w:name="_Toc134727716"/>
      <w:bookmarkStart w:id="183" w:name="_Toc134727860"/>
      <w:bookmarkStart w:id="184" w:name="_Toc134728261"/>
      <w:bookmarkStart w:id="185" w:name="_Toc104967258"/>
      <w:bookmarkStart w:id="186" w:name="_Toc134718494"/>
      <w:bookmarkStart w:id="187" w:name="_Toc134718636"/>
      <w:bookmarkStart w:id="188" w:name="_Toc134718826"/>
      <w:bookmarkStart w:id="189" w:name="_Toc134727126"/>
      <w:bookmarkStart w:id="190" w:name="_Toc134727267"/>
      <w:bookmarkStart w:id="191" w:name="_Toc134727717"/>
      <w:bookmarkStart w:id="192" w:name="_Toc134727861"/>
      <w:bookmarkStart w:id="193" w:name="_Toc134728262"/>
      <w:bookmarkStart w:id="194" w:name="_Toc104967259"/>
      <w:bookmarkStart w:id="195" w:name="_Toc134718495"/>
      <w:bookmarkStart w:id="196" w:name="_Toc134718637"/>
      <w:bookmarkStart w:id="197" w:name="_Toc134718827"/>
      <w:bookmarkStart w:id="198" w:name="_Toc134727127"/>
      <w:bookmarkStart w:id="199" w:name="_Toc134727268"/>
      <w:bookmarkStart w:id="200" w:name="_Toc134727718"/>
      <w:bookmarkStart w:id="201" w:name="_Toc134727862"/>
      <w:bookmarkStart w:id="202" w:name="_Toc134728263"/>
      <w:bookmarkStart w:id="203" w:name="_Toc73110770"/>
      <w:bookmarkStart w:id="204" w:name="_Toc13581111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sz w:val="22"/>
          <w:szCs w:val="22"/>
        </w:rPr>
        <w:t>E</w:t>
      </w:r>
      <w:r w:rsidR="00973942" w:rsidRPr="00547988">
        <w:rPr>
          <w:sz w:val="22"/>
          <w:szCs w:val="22"/>
        </w:rPr>
        <w:t>mission</w:t>
      </w:r>
      <w:r w:rsidR="00F01FD3" w:rsidRPr="00547988">
        <w:rPr>
          <w:sz w:val="22"/>
          <w:szCs w:val="22"/>
        </w:rPr>
        <w:t>en</w:t>
      </w:r>
      <w:r w:rsidR="00973942" w:rsidRPr="00547988">
        <w:rPr>
          <w:sz w:val="22"/>
          <w:szCs w:val="22"/>
        </w:rPr>
        <w:t xml:space="preserve"> </w:t>
      </w:r>
      <w:r w:rsidR="000C7964" w:rsidRPr="00547988">
        <w:rPr>
          <w:sz w:val="22"/>
          <w:szCs w:val="22"/>
        </w:rPr>
        <w:t>je</w:t>
      </w:r>
      <w:r w:rsidR="00EF7C73" w:rsidRPr="00547988">
        <w:rPr>
          <w:sz w:val="22"/>
          <w:szCs w:val="22"/>
        </w:rPr>
        <w:t xml:space="preserve"> Scope</w:t>
      </w:r>
      <w:r w:rsidR="00B6381A">
        <w:rPr>
          <w:sz w:val="22"/>
          <w:szCs w:val="22"/>
        </w:rPr>
        <w:t xml:space="preserve"> im Detail</w:t>
      </w:r>
      <w:bookmarkEnd w:id="203"/>
      <w:bookmarkEnd w:id="204"/>
    </w:p>
    <w:p w14:paraId="6A6FA51E" w14:textId="49A02595" w:rsidR="00973942" w:rsidRPr="00044967" w:rsidRDefault="00D76725" w:rsidP="009215B1">
      <w:pPr>
        <w:spacing w:line="280" w:lineRule="atLeast"/>
        <w:rPr>
          <w:rFonts w:cs="Arial"/>
        </w:rPr>
      </w:pPr>
      <w:r w:rsidRPr="00044967">
        <w:rPr>
          <w:rFonts w:cs="Arial"/>
        </w:rPr>
        <w:t>D</w:t>
      </w:r>
      <w:r w:rsidR="009C1B3B" w:rsidRPr="00044967">
        <w:rPr>
          <w:rFonts w:cs="Arial"/>
        </w:rPr>
        <w:t>ie Gesamtemissionen nach Scopes und Emissionsquellen</w:t>
      </w:r>
      <w:r w:rsidR="00D06E54" w:rsidRPr="00044967">
        <w:rPr>
          <w:rFonts w:cs="Arial"/>
        </w:rPr>
        <w:t xml:space="preserve"> sind</w:t>
      </w:r>
      <w:r w:rsidR="004F0E81" w:rsidRPr="00044967">
        <w:rPr>
          <w:rFonts w:cs="Arial"/>
        </w:rPr>
        <w:t xml:space="preserve"> folgend in </w:t>
      </w:r>
      <w:r w:rsidR="004F0E81" w:rsidRPr="00044967">
        <w:rPr>
          <w:rFonts w:cs="Arial"/>
        </w:rPr>
        <w:fldChar w:fldCharType="begin"/>
      </w:r>
      <w:r w:rsidR="004F0E81" w:rsidRPr="00044967">
        <w:rPr>
          <w:rFonts w:cs="Arial"/>
        </w:rPr>
        <w:instrText xml:space="preserve"> REF _Ref260351365 \h </w:instrText>
      </w:r>
      <w:r w:rsidR="004F0E81" w:rsidRPr="00044967">
        <w:rPr>
          <w:rFonts w:cs="Arial"/>
        </w:rPr>
      </w:r>
      <w:r w:rsidR="004F0E81" w:rsidRPr="00044967">
        <w:rPr>
          <w:rFonts w:cs="Arial"/>
        </w:rPr>
        <w:fldChar w:fldCharType="separate"/>
      </w:r>
      <w:r w:rsidR="004C77B6" w:rsidRPr="00044967">
        <w:rPr>
          <w:color w:val="auto"/>
        </w:rPr>
        <w:t xml:space="preserve">Tabelle </w:t>
      </w:r>
      <w:r w:rsidR="004C77B6">
        <w:rPr>
          <w:noProof/>
          <w:color w:val="auto"/>
        </w:rPr>
        <w:t>1</w:t>
      </w:r>
      <w:r w:rsidR="004F0E81" w:rsidRPr="00044967">
        <w:rPr>
          <w:rFonts w:cs="Arial"/>
        </w:rPr>
        <w:fldChar w:fldCharType="end"/>
      </w:r>
      <w:r w:rsidRPr="00044967">
        <w:rPr>
          <w:rFonts w:cs="Arial"/>
        </w:rPr>
        <w:t xml:space="preserve"> </w:t>
      </w:r>
      <w:r w:rsidR="00D06E54" w:rsidRPr="00044967">
        <w:rPr>
          <w:rFonts w:cs="Arial"/>
        </w:rPr>
        <w:t>dargestellt.</w:t>
      </w:r>
    </w:p>
    <w:p w14:paraId="259186A6" w14:textId="77777777" w:rsidR="00D76725" w:rsidRPr="00044967" w:rsidRDefault="00D76725" w:rsidP="009215B1">
      <w:pPr>
        <w:spacing w:line="280" w:lineRule="atLeast"/>
        <w:rPr>
          <w:rFonts w:cs="Arial"/>
        </w:rPr>
      </w:pPr>
    </w:p>
    <w:p w14:paraId="22DA12BD" w14:textId="113E4400" w:rsidR="009C1B3B" w:rsidRPr="00044967" w:rsidRDefault="009C1B3B" w:rsidP="009215B1">
      <w:pPr>
        <w:pStyle w:val="Beschriftung"/>
        <w:keepNext/>
        <w:tabs>
          <w:tab w:val="clear" w:pos="851"/>
          <w:tab w:val="left" w:pos="0"/>
        </w:tabs>
        <w:spacing w:line="280" w:lineRule="atLeast"/>
        <w:ind w:left="0"/>
        <w:jc w:val="both"/>
        <w:rPr>
          <w:color w:val="auto"/>
          <w:sz w:val="22"/>
        </w:rPr>
      </w:pPr>
      <w:bookmarkStart w:id="205" w:name="_Ref260351365"/>
      <w:r w:rsidRPr="00044967">
        <w:rPr>
          <w:color w:val="auto"/>
          <w:sz w:val="22"/>
        </w:rPr>
        <w:t xml:space="preserve">Tabelle </w:t>
      </w:r>
      <w:r w:rsidRPr="00044967">
        <w:rPr>
          <w:color w:val="auto"/>
          <w:sz w:val="22"/>
        </w:rPr>
        <w:fldChar w:fldCharType="begin"/>
      </w:r>
      <w:r w:rsidRPr="00044967">
        <w:rPr>
          <w:color w:val="auto"/>
          <w:sz w:val="22"/>
        </w:rPr>
        <w:instrText xml:space="preserve"> SEQ Tabelle \* ARABIC </w:instrText>
      </w:r>
      <w:r w:rsidRPr="00044967">
        <w:rPr>
          <w:color w:val="auto"/>
          <w:sz w:val="22"/>
        </w:rPr>
        <w:fldChar w:fldCharType="separate"/>
      </w:r>
      <w:r w:rsidR="004C77B6">
        <w:rPr>
          <w:noProof/>
          <w:color w:val="auto"/>
          <w:sz w:val="22"/>
        </w:rPr>
        <w:t>1</w:t>
      </w:r>
      <w:r w:rsidRPr="00044967">
        <w:rPr>
          <w:color w:val="auto"/>
          <w:sz w:val="22"/>
        </w:rPr>
        <w:fldChar w:fldCharType="end"/>
      </w:r>
      <w:bookmarkEnd w:id="205"/>
      <w:r w:rsidRPr="00914E9F">
        <w:rPr>
          <w:color w:val="auto"/>
          <w:sz w:val="22"/>
        </w:rPr>
        <w:t>: Emissionen nach Scopes und Emissionsquellen</w:t>
      </w:r>
    </w:p>
    <w:p w14:paraId="7D51F24D" w14:textId="4FAD2A0A" w:rsidR="00D76725" w:rsidRPr="00044967" w:rsidRDefault="00017968" w:rsidP="009215B1">
      <w:pPr>
        <w:spacing w:line="280" w:lineRule="atLeast"/>
        <w:rPr>
          <w:rFonts w:cs="Arial"/>
          <w:b/>
        </w:rPr>
      </w:pPr>
      <w:r w:rsidRPr="00017968">
        <w:rPr>
          <w:noProof/>
        </w:rPr>
        <w:drawing>
          <wp:inline distT="0" distB="0" distL="0" distR="0" wp14:anchorId="58675FEE" wp14:editId="596AA1FD">
            <wp:extent cx="5724525" cy="5155469"/>
            <wp:effectExtent l="0" t="0" r="0" b="7620"/>
            <wp:docPr id="1939356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293" cy="5158862"/>
                    </a:xfrm>
                    <a:prstGeom prst="rect">
                      <a:avLst/>
                    </a:prstGeom>
                    <a:noFill/>
                    <a:ln>
                      <a:noFill/>
                    </a:ln>
                  </pic:spPr>
                </pic:pic>
              </a:graphicData>
            </a:graphic>
          </wp:inline>
        </w:drawing>
      </w:r>
    </w:p>
    <w:p w14:paraId="2F1ED0B1" w14:textId="4C38D0AB" w:rsidR="00A245CA" w:rsidRDefault="00A245CA" w:rsidP="009215B1">
      <w:pPr>
        <w:spacing w:line="280" w:lineRule="atLeast"/>
        <w:rPr>
          <w:rFonts w:cs="Arial"/>
          <w:color w:val="FF0000"/>
        </w:rPr>
      </w:pPr>
    </w:p>
    <w:p w14:paraId="3AA4E325" w14:textId="41329075" w:rsidR="00A245CA" w:rsidRDefault="00A245CA" w:rsidP="009215B1">
      <w:pPr>
        <w:spacing w:line="280" w:lineRule="atLeast"/>
        <w:rPr>
          <w:rFonts w:cs="Arial"/>
          <w:color w:val="auto"/>
        </w:rPr>
      </w:pPr>
      <w:r w:rsidRPr="00A245CA">
        <w:rPr>
          <w:rFonts w:cs="Arial"/>
          <w:color w:val="auto"/>
        </w:rPr>
        <w:t xml:space="preserve">Die größte Emissionsquelle bei KDE sind </w:t>
      </w:r>
      <w:r w:rsidR="002B3E78">
        <w:rPr>
          <w:rFonts w:cs="Arial"/>
          <w:color w:val="auto"/>
        </w:rPr>
        <w:t>die</w:t>
      </w:r>
      <w:r w:rsidR="002B3E78" w:rsidRPr="00A245CA">
        <w:rPr>
          <w:rFonts w:cs="Arial"/>
          <w:color w:val="auto"/>
        </w:rPr>
        <w:t xml:space="preserve"> </w:t>
      </w:r>
      <w:r w:rsidRPr="00A245CA">
        <w:rPr>
          <w:rFonts w:cs="Arial"/>
          <w:color w:val="auto"/>
        </w:rPr>
        <w:t xml:space="preserve">Transportdienstleistungen. </w:t>
      </w:r>
      <w:r>
        <w:rPr>
          <w:rFonts w:cs="Arial"/>
          <w:color w:val="auto"/>
        </w:rPr>
        <w:t>Diese werden über verschiedene Wege durchgeführt:</w:t>
      </w:r>
    </w:p>
    <w:p w14:paraId="44816F5A" w14:textId="7305C8FB" w:rsidR="00A245CA" w:rsidRDefault="00A245CA" w:rsidP="009215B1">
      <w:pPr>
        <w:pStyle w:val="Listenabsatz"/>
        <w:numPr>
          <w:ilvl w:val="0"/>
          <w:numId w:val="39"/>
        </w:numPr>
        <w:spacing w:line="280" w:lineRule="atLeast"/>
        <w:ind w:left="0" w:firstLine="0"/>
        <w:contextualSpacing w:val="0"/>
        <w:rPr>
          <w:rFonts w:cs="Arial"/>
          <w:color w:val="auto"/>
        </w:rPr>
      </w:pPr>
      <w:r>
        <w:rPr>
          <w:rFonts w:cs="Arial"/>
          <w:color w:val="auto"/>
        </w:rPr>
        <w:t>Direktfahrten mit eigenem Fuhrpark</w:t>
      </w:r>
      <w:r w:rsidR="00E11627">
        <w:rPr>
          <w:rFonts w:cs="Arial"/>
          <w:color w:val="auto"/>
        </w:rPr>
        <w:t xml:space="preserve"> (Scope 1</w:t>
      </w:r>
      <w:r w:rsidR="005939BF">
        <w:rPr>
          <w:rFonts w:cs="Arial"/>
          <w:color w:val="auto"/>
        </w:rPr>
        <w:t>.2</w:t>
      </w:r>
      <w:r w:rsidR="00E11627">
        <w:rPr>
          <w:rFonts w:cs="Arial"/>
          <w:color w:val="auto"/>
        </w:rPr>
        <w:t>)</w:t>
      </w:r>
    </w:p>
    <w:p w14:paraId="08E66F20" w14:textId="4B0A63C7" w:rsidR="00A245CA" w:rsidRDefault="00A245CA" w:rsidP="009215B1">
      <w:pPr>
        <w:pStyle w:val="Listenabsatz"/>
        <w:numPr>
          <w:ilvl w:val="0"/>
          <w:numId w:val="39"/>
        </w:numPr>
        <w:spacing w:line="280" w:lineRule="atLeast"/>
        <w:ind w:left="0" w:firstLine="0"/>
        <w:contextualSpacing w:val="0"/>
        <w:rPr>
          <w:rFonts w:cs="Arial"/>
          <w:color w:val="auto"/>
        </w:rPr>
      </w:pPr>
      <w:r>
        <w:rPr>
          <w:rFonts w:cs="Arial"/>
          <w:color w:val="auto"/>
        </w:rPr>
        <w:t>Direktfahrten mit Partnerunternehmen</w:t>
      </w:r>
      <w:r w:rsidR="00E11627">
        <w:rPr>
          <w:rFonts w:cs="Arial"/>
          <w:color w:val="auto"/>
        </w:rPr>
        <w:t xml:space="preserve"> (Scope 3</w:t>
      </w:r>
      <w:r w:rsidR="005939BF">
        <w:rPr>
          <w:rFonts w:cs="Arial"/>
          <w:color w:val="auto"/>
        </w:rPr>
        <w:t>.4</w:t>
      </w:r>
      <w:r w:rsidR="00E11627">
        <w:rPr>
          <w:rFonts w:cs="Arial"/>
          <w:color w:val="auto"/>
        </w:rPr>
        <w:t>)</w:t>
      </w:r>
    </w:p>
    <w:p w14:paraId="3AAA1D11" w14:textId="451F2114" w:rsidR="00A245CA" w:rsidRDefault="00A245CA" w:rsidP="009215B1">
      <w:pPr>
        <w:pStyle w:val="Listenabsatz"/>
        <w:numPr>
          <w:ilvl w:val="0"/>
          <w:numId w:val="39"/>
        </w:numPr>
        <w:spacing w:line="280" w:lineRule="atLeast"/>
        <w:ind w:left="0" w:firstLine="0"/>
        <w:contextualSpacing w:val="0"/>
        <w:rPr>
          <w:rFonts w:cs="Arial"/>
          <w:color w:val="auto"/>
        </w:rPr>
      </w:pPr>
      <w:r>
        <w:rPr>
          <w:rFonts w:cs="Arial"/>
          <w:color w:val="auto"/>
        </w:rPr>
        <w:t>Overnight-Express mit den Systempartnern Der Kurier und KEP</w:t>
      </w:r>
      <w:r w:rsidRPr="00A245CA">
        <w:rPr>
          <w:rFonts w:cs="Arial"/>
          <w:color w:val="auto"/>
        </w:rPr>
        <w:t xml:space="preserve"> </w:t>
      </w:r>
      <w:r w:rsidR="00E11627">
        <w:rPr>
          <w:rFonts w:cs="Arial"/>
          <w:color w:val="auto"/>
        </w:rPr>
        <w:t>(Scope 3</w:t>
      </w:r>
      <w:r w:rsidR="005939BF">
        <w:rPr>
          <w:rFonts w:cs="Arial"/>
          <w:color w:val="auto"/>
        </w:rPr>
        <w:t>.4</w:t>
      </w:r>
      <w:r w:rsidR="00E11627">
        <w:rPr>
          <w:rFonts w:cs="Arial"/>
          <w:color w:val="auto"/>
        </w:rPr>
        <w:t>)</w:t>
      </w:r>
    </w:p>
    <w:p w14:paraId="08BEF58A" w14:textId="2C745D59" w:rsidR="00B6381A" w:rsidRPr="00B6381A" w:rsidRDefault="00A245CA" w:rsidP="009215B1">
      <w:pPr>
        <w:pStyle w:val="Listenabsatz"/>
        <w:numPr>
          <w:ilvl w:val="0"/>
          <w:numId w:val="39"/>
        </w:numPr>
        <w:spacing w:line="280" w:lineRule="atLeast"/>
        <w:ind w:left="0" w:firstLine="0"/>
        <w:contextualSpacing w:val="0"/>
      </w:pPr>
      <w:r w:rsidRPr="00A245CA">
        <w:rPr>
          <w:rFonts w:cs="Arial"/>
          <w:color w:val="auto"/>
        </w:rPr>
        <w:t>Luftfracht mit Systempartnern Royale International und Fedex</w:t>
      </w:r>
      <w:r w:rsidR="00E11627">
        <w:rPr>
          <w:rFonts w:cs="Arial"/>
          <w:color w:val="auto"/>
        </w:rPr>
        <w:t xml:space="preserve"> (Scope 3</w:t>
      </w:r>
      <w:r w:rsidR="005939BF">
        <w:rPr>
          <w:rFonts w:cs="Arial"/>
          <w:color w:val="auto"/>
        </w:rPr>
        <w:t>.4</w:t>
      </w:r>
      <w:r w:rsidR="00E11627">
        <w:rPr>
          <w:rFonts w:cs="Arial"/>
          <w:color w:val="auto"/>
        </w:rPr>
        <w:t>)</w:t>
      </w:r>
      <w:r w:rsidRPr="00A245CA">
        <w:rPr>
          <w:rFonts w:cs="Arial"/>
          <w:color w:val="auto"/>
        </w:rPr>
        <w:t>.</w:t>
      </w:r>
      <w:r w:rsidR="00E11627">
        <w:rPr>
          <w:rFonts w:cs="Arial"/>
          <w:color w:val="auto"/>
        </w:rPr>
        <w:t xml:space="preserve"> </w:t>
      </w:r>
    </w:p>
    <w:p w14:paraId="113CEC88" w14:textId="77777777" w:rsidR="00B6381A" w:rsidRPr="00B6381A" w:rsidRDefault="00B6381A" w:rsidP="009215B1">
      <w:pPr>
        <w:pStyle w:val="Listenabsatz"/>
        <w:spacing w:line="280" w:lineRule="atLeast"/>
      </w:pPr>
    </w:p>
    <w:p w14:paraId="55E3AA57" w14:textId="69565751" w:rsidR="00B6381A" w:rsidRDefault="003C254E" w:rsidP="009215B1">
      <w:pPr>
        <w:spacing w:line="280" w:lineRule="atLeast"/>
      </w:pPr>
      <w:r>
        <w:t>Die THG-Emissionen der Transportdienstleistungen aus b. – d. sind der Kategorie Scope 3.4 Vorgelagerter Transport und Vertrieb zugeordnet</w:t>
      </w:r>
      <w:r w:rsidR="00E11627">
        <w:t xml:space="preserve">. Diese </w:t>
      </w:r>
      <w:r w:rsidR="00EF6736">
        <w:t>Fahrten</w:t>
      </w:r>
      <w:r w:rsidR="00E11627">
        <w:t xml:space="preserve"> werden in Fahrzeugen durchgeführt</w:t>
      </w:r>
      <w:r w:rsidR="002B3E78">
        <w:t>,</w:t>
      </w:r>
      <w:r w:rsidR="00E11627">
        <w:t xml:space="preserve"> die nicht KDE gehören und fallen somit in Scope 3. D</w:t>
      </w:r>
      <w:r>
        <w:t xml:space="preserve">a </w:t>
      </w:r>
      <w:r w:rsidR="00E11627">
        <w:t>die Transporte</w:t>
      </w:r>
      <w:r>
        <w:t xml:space="preserve"> Dienstleistungen sind</w:t>
      </w:r>
      <w:r w:rsidR="00E11627">
        <w:t xml:space="preserve">, welche </w:t>
      </w:r>
      <w:r>
        <w:t>KDE einkauft</w:t>
      </w:r>
      <w:r w:rsidR="00E11627">
        <w:t>, fallen diese</w:t>
      </w:r>
      <w:r>
        <w:t xml:space="preserve"> in de</w:t>
      </w:r>
      <w:r w:rsidR="00E11627">
        <w:t xml:space="preserve">n Bereich der </w:t>
      </w:r>
      <w:r>
        <w:t>vorgelagerte Wertschöpfungskette</w:t>
      </w:r>
      <w:r w:rsidR="00E11627">
        <w:t xml:space="preserve"> (Scope 3.4), entsprechend dem GHG Protocol – Corporate Standard.</w:t>
      </w:r>
    </w:p>
    <w:p w14:paraId="1BADDC9A" w14:textId="77777777" w:rsidR="009215B1" w:rsidRDefault="009215B1" w:rsidP="009215B1">
      <w:pPr>
        <w:spacing w:line="280" w:lineRule="atLeast"/>
      </w:pPr>
    </w:p>
    <w:p w14:paraId="08F695C8" w14:textId="2C9CEFF2" w:rsidR="008A4B88" w:rsidRPr="00044967" w:rsidRDefault="0031405D" w:rsidP="0049297C">
      <w:pPr>
        <w:spacing w:after="120" w:line="280" w:lineRule="atLeast"/>
      </w:pPr>
      <w:r w:rsidRPr="00044967">
        <w:t>Annahmen</w:t>
      </w:r>
      <w:r w:rsidR="00973942" w:rsidRPr="00044967">
        <w:t xml:space="preserve"> </w:t>
      </w:r>
      <w:r w:rsidR="008A4B88" w:rsidRPr="00044967">
        <w:t>und</w:t>
      </w:r>
      <w:r w:rsidR="00973942" w:rsidRPr="00044967">
        <w:t xml:space="preserve"> </w:t>
      </w:r>
      <w:r w:rsidR="008A4B88" w:rsidRPr="00044967">
        <w:t>Unsicherheiten</w:t>
      </w:r>
    </w:p>
    <w:p w14:paraId="64680F1C" w14:textId="77777777" w:rsidR="007772A1" w:rsidRDefault="007772A1" w:rsidP="009215B1">
      <w:pPr>
        <w:pStyle w:val="Listenabsatz"/>
        <w:numPr>
          <w:ilvl w:val="0"/>
          <w:numId w:val="40"/>
        </w:numPr>
        <w:spacing w:line="280" w:lineRule="atLeast"/>
        <w:ind w:left="426"/>
        <w:rPr>
          <w:rFonts w:cs="Arial"/>
          <w:color w:val="auto"/>
          <w:lang w:bidi="x-none"/>
        </w:rPr>
      </w:pPr>
      <w:r>
        <w:rPr>
          <w:rFonts w:cs="Arial"/>
          <w:color w:val="auto"/>
          <w:lang w:bidi="x-none"/>
        </w:rPr>
        <w:t>Zu den Emissionen aus Scope 1 liegen genaue Werte von KDE vor:</w:t>
      </w:r>
    </w:p>
    <w:p w14:paraId="2EC9821B" w14:textId="4BDCB5A4" w:rsidR="007772A1" w:rsidRDefault="007772A1" w:rsidP="009215B1">
      <w:pPr>
        <w:pStyle w:val="Listenabsatz"/>
        <w:numPr>
          <w:ilvl w:val="0"/>
          <w:numId w:val="41"/>
        </w:numPr>
        <w:spacing w:line="280" w:lineRule="atLeast"/>
        <w:ind w:left="426"/>
        <w:rPr>
          <w:rFonts w:cs="Arial"/>
          <w:color w:val="auto"/>
          <w:lang w:bidi="x-none"/>
        </w:rPr>
      </w:pPr>
      <w:r>
        <w:rPr>
          <w:rFonts w:cs="Arial"/>
          <w:color w:val="auto"/>
          <w:lang w:bidi="x-none"/>
        </w:rPr>
        <w:t xml:space="preserve">Verbrauch Erdgas </w:t>
      </w:r>
      <w:r w:rsidR="009215B1">
        <w:rPr>
          <w:rFonts w:cs="Arial"/>
          <w:color w:val="auto"/>
          <w:lang w:bidi="x-none"/>
        </w:rPr>
        <w:t>-</w:t>
      </w:r>
      <w:r>
        <w:rPr>
          <w:rFonts w:cs="Arial"/>
          <w:color w:val="auto"/>
          <w:lang w:bidi="x-none"/>
        </w:rPr>
        <w:t xml:space="preserve"> Der Lieferant benennt d</w:t>
      </w:r>
      <w:r w:rsidR="005939BF">
        <w:rPr>
          <w:rFonts w:cs="Arial"/>
          <w:color w:val="auto"/>
          <w:lang w:bidi="x-none"/>
        </w:rPr>
        <w:t>ie kWh</w:t>
      </w:r>
      <w:r>
        <w:rPr>
          <w:rFonts w:cs="Arial"/>
          <w:color w:val="auto"/>
          <w:lang w:bidi="x-none"/>
        </w:rPr>
        <w:t>.</w:t>
      </w:r>
    </w:p>
    <w:p w14:paraId="1643E0C4" w14:textId="1727D709" w:rsidR="007772A1" w:rsidRDefault="007772A1" w:rsidP="009215B1">
      <w:pPr>
        <w:pStyle w:val="Listenabsatz"/>
        <w:numPr>
          <w:ilvl w:val="0"/>
          <w:numId w:val="41"/>
        </w:numPr>
        <w:spacing w:line="280" w:lineRule="atLeast"/>
        <w:ind w:left="426"/>
        <w:rPr>
          <w:rFonts w:cs="Arial"/>
          <w:color w:val="auto"/>
          <w:lang w:bidi="x-none"/>
        </w:rPr>
      </w:pPr>
      <w:r>
        <w:rPr>
          <w:rFonts w:cs="Arial"/>
          <w:color w:val="auto"/>
          <w:lang w:bidi="x-none"/>
        </w:rPr>
        <w:t xml:space="preserve">Treibstoffverbrauch </w:t>
      </w:r>
      <w:r w:rsidR="005939BF">
        <w:rPr>
          <w:rFonts w:cs="Arial"/>
          <w:color w:val="auto"/>
          <w:lang w:bidi="x-none"/>
        </w:rPr>
        <w:t xml:space="preserve">in Liter Diesel und Benzin </w:t>
      </w:r>
      <w:r>
        <w:rPr>
          <w:rFonts w:cs="Arial"/>
          <w:color w:val="auto"/>
          <w:lang w:bidi="x-none"/>
        </w:rPr>
        <w:t>des KDE-Fuhrparks über die Sammel-Tankrechnungen.</w:t>
      </w:r>
      <w:r w:rsidR="007972D8">
        <w:rPr>
          <w:rFonts w:cs="Arial"/>
          <w:color w:val="auto"/>
          <w:lang w:bidi="x-none"/>
        </w:rPr>
        <w:t xml:space="preserve"> Hierin sind Kurierfahrten mit eigenem Fuhrpark, Dienst</w:t>
      </w:r>
      <w:r w:rsidR="00553128">
        <w:rPr>
          <w:rFonts w:cs="Arial"/>
          <w:color w:val="auto"/>
          <w:lang w:bidi="x-none"/>
        </w:rPr>
        <w:t>reisen</w:t>
      </w:r>
      <w:r w:rsidR="007972D8">
        <w:rPr>
          <w:rFonts w:cs="Arial"/>
          <w:color w:val="auto"/>
          <w:lang w:bidi="x-none"/>
        </w:rPr>
        <w:t xml:space="preserve"> der </w:t>
      </w:r>
      <w:r w:rsidR="00553128">
        <w:rPr>
          <w:rFonts w:cs="Arial"/>
          <w:color w:val="auto"/>
          <w:lang w:bidi="x-none"/>
        </w:rPr>
        <w:t>Teammitglieder</w:t>
      </w:r>
      <w:r w:rsidR="007972D8">
        <w:rPr>
          <w:rFonts w:cs="Arial"/>
          <w:color w:val="auto"/>
          <w:lang w:bidi="x-none"/>
        </w:rPr>
        <w:t xml:space="preserve"> sowie der Pendelverkehr und Privatfahrten der </w:t>
      </w:r>
      <w:r w:rsidR="00553128">
        <w:rPr>
          <w:rFonts w:cs="Arial"/>
          <w:color w:val="auto"/>
          <w:lang w:bidi="x-none"/>
        </w:rPr>
        <w:t>Teammitglieder</w:t>
      </w:r>
      <w:r w:rsidR="007972D8">
        <w:rPr>
          <w:rFonts w:cs="Arial"/>
          <w:color w:val="auto"/>
          <w:lang w:bidi="x-none"/>
        </w:rPr>
        <w:t>, die ein KFZ zur privaten Nutzung haben, enthalten.</w:t>
      </w:r>
    </w:p>
    <w:p w14:paraId="583652A1" w14:textId="21677E56" w:rsidR="007772A1" w:rsidRDefault="007772A1" w:rsidP="009215B1">
      <w:pPr>
        <w:pStyle w:val="Listenabsatz"/>
        <w:numPr>
          <w:ilvl w:val="0"/>
          <w:numId w:val="40"/>
        </w:numPr>
        <w:spacing w:line="280" w:lineRule="atLeast"/>
        <w:ind w:left="426"/>
        <w:rPr>
          <w:rFonts w:cs="Arial"/>
          <w:color w:val="auto"/>
          <w:lang w:bidi="x-none"/>
        </w:rPr>
      </w:pPr>
      <w:r>
        <w:rPr>
          <w:rFonts w:cs="Arial"/>
          <w:color w:val="auto"/>
          <w:lang w:bidi="x-none"/>
        </w:rPr>
        <w:t>Zu den Emissionen aus Scope 2 liegen ebenfalls genaue Werte von KDE vor:</w:t>
      </w:r>
    </w:p>
    <w:p w14:paraId="6E6E8CEF" w14:textId="382C26DB" w:rsidR="00A245CA" w:rsidRPr="00BA33BF" w:rsidRDefault="007772A1" w:rsidP="009215B1">
      <w:pPr>
        <w:pStyle w:val="Listenabsatz"/>
        <w:numPr>
          <w:ilvl w:val="0"/>
          <w:numId w:val="41"/>
        </w:numPr>
        <w:spacing w:line="280" w:lineRule="atLeast"/>
        <w:ind w:left="426"/>
        <w:rPr>
          <w:rFonts w:cs="Arial"/>
          <w:color w:val="auto"/>
          <w:lang w:bidi="x-none"/>
        </w:rPr>
      </w:pPr>
      <w:r w:rsidRPr="00BA33BF">
        <w:rPr>
          <w:rFonts w:cs="Arial"/>
          <w:color w:val="auto"/>
          <w:lang w:bidi="x-none"/>
        </w:rPr>
        <w:t>Verbrauch Strom gemäß Lieferanten. Der Lieferant liefert den spezifischen Emissionsfaktor</w:t>
      </w:r>
      <w:r w:rsidR="005939BF">
        <w:rPr>
          <w:rFonts w:cs="Arial"/>
          <w:color w:val="auto"/>
          <w:lang w:bidi="x-none"/>
        </w:rPr>
        <w:t xml:space="preserve"> (markt-basierte Berechnungsmethode)</w:t>
      </w:r>
      <w:r w:rsidRPr="00BA33BF">
        <w:rPr>
          <w:rFonts w:cs="Arial"/>
          <w:color w:val="auto"/>
          <w:lang w:bidi="x-none"/>
        </w:rPr>
        <w:t>. Hierin ist der Stromverbrauch der Elektrofahrzeuge eingeschlossen.</w:t>
      </w:r>
      <w:r w:rsidR="00A245CA" w:rsidRPr="00BA33BF">
        <w:rPr>
          <w:rFonts w:cs="Arial"/>
          <w:color w:val="auto"/>
          <w:lang w:bidi="x-none"/>
        </w:rPr>
        <w:t xml:space="preserve"> </w:t>
      </w:r>
      <w:r w:rsidR="00820AEF">
        <w:rPr>
          <w:rFonts w:cs="Arial"/>
          <w:color w:val="auto"/>
          <w:lang w:bidi="x-none"/>
        </w:rPr>
        <w:t>Seit 2022 ist der Strombedarf komplett mit Strom aus erneuerbaren Energie</w:t>
      </w:r>
      <w:r w:rsidR="004F1A1C">
        <w:rPr>
          <w:rFonts w:cs="Arial"/>
          <w:color w:val="auto"/>
          <w:lang w:bidi="x-none"/>
        </w:rPr>
        <w:t>n</w:t>
      </w:r>
      <w:r w:rsidR="00820AEF">
        <w:rPr>
          <w:rFonts w:cs="Arial"/>
          <w:color w:val="auto"/>
          <w:lang w:bidi="x-none"/>
        </w:rPr>
        <w:t xml:space="preserve"> mit OK-Power Siegel gedeckt.</w:t>
      </w:r>
    </w:p>
    <w:p w14:paraId="4C8A61A6" w14:textId="77777777" w:rsidR="007E0351" w:rsidRDefault="007772A1" w:rsidP="009215B1">
      <w:pPr>
        <w:pStyle w:val="Listenabsatz"/>
        <w:numPr>
          <w:ilvl w:val="0"/>
          <w:numId w:val="40"/>
        </w:numPr>
        <w:spacing w:line="280" w:lineRule="atLeast"/>
        <w:ind w:left="426"/>
        <w:rPr>
          <w:rFonts w:cs="Arial"/>
          <w:color w:val="auto"/>
          <w:lang w:bidi="x-none"/>
        </w:rPr>
      </w:pPr>
      <w:r>
        <w:rPr>
          <w:rFonts w:cs="Arial"/>
          <w:color w:val="auto"/>
          <w:lang w:bidi="x-none"/>
        </w:rPr>
        <w:t xml:space="preserve">Scope 3 </w:t>
      </w:r>
    </w:p>
    <w:p w14:paraId="3BDD0535" w14:textId="57DFBB33" w:rsidR="007772A1" w:rsidRDefault="00AD5B21" w:rsidP="009215B1">
      <w:pPr>
        <w:pStyle w:val="Listenabsatz"/>
        <w:numPr>
          <w:ilvl w:val="0"/>
          <w:numId w:val="41"/>
        </w:numPr>
        <w:spacing w:line="280" w:lineRule="atLeast"/>
        <w:ind w:left="426"/>
        <w:rPr>
          <w:rFonts w:cs="Arial"/>
          <w:color w:val="auto"/>
          <w:lang w:bidi="x-none"/>
        </w:rPr>
      </w:pPr>
      <w:r>
        <w:rPr>
          <w:rFonts w:cs="Arial"/>
          <w:color w:val="auto"/>
          <w:lang w:bidi="x-none"/>
        </w:rPr>
        <w:t xml:space="preserve">Scope 3.1 </w:t>
      </w:r>
      <w:r w:rsidR="007772A1" w:rsidRPr="007E0351">
        <w:rPr>
          <w:rFonts w:cs="Arial"/>
          <w:color w:val="auto"/>
          <w:lang w:bidi="x-none"/>
        </w:rPr>
        <w:t>Papier</w:t>
      </w:r>
      <w:r w:rsidR="00553128">
        <w:rPr>
          <w:rFonts w:cs="Arial"/>
          <w:color w:val="auto"/>
          <w:lang w:bidi="x-none"/>
        </w:rPr>
        <w:t xml:space="preserve"> und Toner</w:t>
      </w:r>
      <w:r w:rsidR="007772A1" w:rsidRPr="007E0351">
        <w:rPr>
          <w:rFonts w:cs="Arial"/>
          <w:color w:val="auto"/>
          <w:lang w:bidi="x-none"/>
        </w:rPr>
        <w:t xml:space="preserve">: KDE hat </w:t>
      </w:r>
      <w:r w:rsidR="00553128">
        <w:rPr>
          <w:rFonts w:cs="Arial"/>
          <w:color w:val="auto"/>
          <w:lang w:bidi="x-none"/>
        </w:rPr>
        <w:t xml:space="preserve">den Materialeinkauf ausgewertet und unverbrauchtes Material zum Stichtag 31.12. in Abzug gebracht. </w:t>
      </w:r>
      <w:r>
        <w:rPr>
          <w:rFonts w:cs="Arial"/>
          <w:color w:val="auto"/>
          <w:lang w:bidi="x-none"/>
        </w:rPr>
        <w:t xml:space="preserve">Weitere eingekaufte Waren </w:t>
      </w:r>
      <w:r w:rsidR="00553128">
        <w:rPr>
          <w:rFonts w:cs="Arial"/>
          <w:color w:val="auto"/>
          <w:lang w:bidi="x-none"/>
        </w:rPr>
        <w:t xml:space="preserve">werden ab 2023 </w:t>
      </w:r>
      <w:r>
        <w:rPr>
          <w:rFonts w:cs="Arial"/>
          <w:color w:val="auto"/>
          <w:lang w:bidi="x-none"/>
        </w:rPr>
        <w:t>erhoben</w:t>
      </w:r>
      <w:r w:rsidR="00553128">
        <w:rPr>
          <w:rFonts w:cs="Arial"/>
          <w:color w:val="auto"/>
          <w:lang w:bidi="x-none"/>
        </w:rPr>
        <w:t xml:space="preserve"> werden</w:t>
      </w:r>
      <w:r>
        <w:rPr>
          <w:rFonts w:cs="Arial"/>
          <w:color w:val="auto"/>
          <w:lang w:bidi="x-none"/>
        </w:rPr>
        <w:t>.</w:t>
      </w:r>
    </w:p>
    <w:p w14:paraId="431B1A12" w14:textId="22F9C164" w:rsidR="00CF6C56" w:rsidRPr="007E0351" w:rsidRDefault="00CF6C56" w:rsidP="009215B1">
      <w:pPr>
        <w:pStyle w:val="Listenabsatz"/>
        <w:numPr>
          <w:ilvl w:val="0"/>
          <w:numId w:val="41"/>
        </w:numPr>
        <w:spacing w:line="280" w:lineRule="atLeast"/>
        <w:ind w:left="426"/>
        <w:rPr>
          <w:rFonts w:cs="Arial"/>
          <w:color w:val="auto"/>
          <w:lang w:bidi="x-none"/>
        </w:rPr>
      </w:pPr>
      <w:r>
        <w:rPr>
          <w:rFonts w:cs="Arial"/>
          <w:color w:val="auto"/>
          <w:lang w:bidi="x-none"/>
        </w:rPr>
        <w:t>Scope 3.2 Kapitalgütern: keine Anschaffung von Kapitalgütern im Berichtsjahr</w:t>
      </w:r>
    </w:p>
    <w:p w14:paraId="1AD1B97A" w14:textId="45910DD4" w:rsidR="002C6EF5" w:rsidRDefault="002C6EF5" w:rsidP="009215B1">
      <w:pPr>
        <w:pStyle w:val="Listenabsatz"/>
        <w:numPr>
          <w:ilvl w:val="0"/>
          <w:numId w:val="41"/>
        </w:numPr>
        <w:spacing w:line="280" w:lineRule="atLeast"/>
        <w:ind w:left="426"/>
        <w:rPr>
          <w:rFonts w:cs="Arial"/>
          <w:color w:val="auto"/>
          <w:lang w:bidi="x-none"/>
        </w:rPr>
      </w:pPr>
      <w:r>
        <w:rPr>
          <w:rFonts w:cs="Arial"/>
          <w:color w:val="auto"/>
          <w:lang w:bidi="x-none"/>
        </w:rPr>
        <w:t xml:space="preserve">Scope 3.3 </w:t>
      </w:r>
      <w:r w:rsidRPr="002C6EF5">
        <w:rPr>
          <w:rFonts w:cs="Arial"/>
          <w:color w:val="auto"/>
          <w:lang w:bidi="x-none"/>
        </w:rPr>
        <w:t>Brennstoff- und energiebezogene Emissionen</w:t>
      </w:r>
      <w:r w:rsidR="001C5D51">
        <w:rPr>
          <w:rFonts w:cs="Arial"/>
          <w:color w:val="auto"/>
          <w:lang w:bidi="x-none"/>
        </w:rPr>
        <w:t>:</w:t>
      </w:r>
      <w:r>
        <w:rPr>
          <w:rFonts w:cs="Arial"/>
          <w:color w:val="auto"/>
          <w:lang w:bidi="x-none"/>
        </w:rPr>
        <w:t xml:space="preserve"> beinhaltet die THG-Emission der Vorkette zur Energieerzeugung vor der Verbrennung und basiert auf den kWh Aktivitätsdaten aus Scope 1 und 2.</w:t>
      </w:r>
      <w:r w:rsidR="00241405">
        <w:rPr>
          <w:rFonts w:cs="Arial"/>
          <w:color w:val="auto"/>
          <w:lang w:bidi="x-none"/>
        </w:rPr>
        <w:t xml:space="preserve"> Für den bezogenen Ökostrom ab 2021 wurde eine Annahme von 50% Wind- und 50% Wasserkraft angenommen, um die Treibhausgasemissionen der Vorkette zu berechnen. </w:t>
      </w:r>
    </w:p>
    <w:p w14:paraId="319DA403" w14:textId="7B0A9C42" w:rsidR="007E0351" w:rsidRPr="00E83B17" w:rsidRDefault="00AD5B21" w:rsidP="009215B1">
      <w:pPr>
        <w:pStyle w:val="Listenabsatz"/>
        <w:numPr>
          <w:ilvl w:val="0"/>
          <w:numId w:val="41"/>
        </w:numPr>
        <w:spacing w:line="280" w:lineRule="atLeast"/>
        <w:ind w:left="426"/>
        <w:rPr>
          <w:rFonts w:cs="Arial"/>
          <w:color w:val="auto"/>
          <w:lang w:bidi="x-none"/>
        </w:rPr>
      </w:pPr>
      <w:r w:rsidRPr="00E83B17">
        <w:rPr>
          <w:rFonts w:cs="Arial"/>
          <w:color w:val="auto"/>
          <w:lang w:bidi="x-none"/>
        </w:rPr>
        <w:t>Scope 3.</w:t>
      </w:r>
      <w:r w:rsidR="00164D2B" w:rsidRPr="00E83B17">
        <w:rPr>
          <w:rFonts w:cs="Arial"/>
          <w:color w:val="auto"/>
          <w:lang w:bidi="x-none"/>
        </w:rPr>
        <w:t xml:space="preserve">5 </w:t>
      </w:r>
      <w:r w:rsidR="007E0351" w:rsidRPr="00E83B17">
        <w:rPr>
          <w:rFonts w:cs="Arial"/>
          <w:color w:val="auto"/>
          <w:lang w:bidi="x-none"/>
        </w:rPr>
        <w:t xml:space="preserve">Abfall: KDE hat auf Basis </w:t>
      </w:r>
      <w:r w:rsidR="00D960B9" w:rsidRPr="00D65578">
        <w:rPr>
          <w:rFonts w:cs="Arial"/>
          <w:color w:val="auto"/>
          <w:lang w:bidi="x-none"/>
        </w:rPr>
        <w:t>von Leerungszyklen und Mülltonnen-Volumen</w:t>
      </w:r>
      <w:r w:rsidR="007E0351" w:rsidRPr="00E83B17">
        <w:rPr>
          <w:rFonts w:cs="Arial"/>
          <w:color w:val="auto"/>
          <w:lang w:bidi="x-none"/>
        </w:rPr>
        <w:t xml:space="preserve"> den Jahresverbrauch </w:t>
      </w:r>
      <w:r w:rsidR="00E83B17">
        <w:rPr>
          <w:rFonts w:cs="Arial"/>
          <w:color w:val="auto"/>
          <w:lang w:bidi="x-none"/>
        </w:rPr>
        <w:t xml:space="preserve">der einzelnen Abfalltypen </w:t>
      </w:r>
      <w:r w:rsidR="007E0351" w:rsidRPr="00E83B17">
        <w:rPr>
          <w:rFonts w:cs="Arial"/>
          <w:color w:val="auto"/>
          <w:lang w:bidi="x-none"/>
        </w:rPr>
        <w:t>hochgerechnet</w:t>
      </w:r>
      <w:r w:rsidR="00E83B17">
        <w:rPr>
          <w:rFonts w:cs="Arial"/>
          <w:color w:val="auto"/>
          <w:lang w:bidi="x-none"/>
        </w:rPr>
        <w:t>.</w:t>
      </w:r>
    </w:p>
    <w:p w14:paraId="2F7107A0" w14:textId="0B23C024" w:rsidR="007E0351" w:rsidRDefault="00164D2B" w:rsidP="009215B1">
      <w:pPr>
        <w:pStyle w:val="Listenabsatz"/>
        <w:numPr>
          <w:ilvl w:val="0"/>
          <w:numId w:val="41"/>
        </w:numPr>
        <w:spacing w:line="280" w:lineRule="atLeast"/>
        <w:ind w:left="426"/>
        <w:rPr>
          <w:rFonts w:cs="Arial"/>
          <w:color w:val="auto"/>
          <w:lang w:bidi="x-none"/>
        </w:rPr>
      </w:pPr>
      <w:r>
        <w:rPr>
          <w:rFonts w:cs="Arial"/>
          <w:color w:val="auto"/>
          <w:lang w:bidi="x-none"/>
        </w:rPr>
        <w:t xml:space="preserve">Scope 3.6 </w:t>
      </w:r>
      <w:r w:rsidR="007E0351">
        <w:rPr>
          <w:rFonts w:cs="Arial"/>
          <w:color w:val="auto"/>
          <w:lang w:bidi="x-none"/>
        </w:rPr>
        <w:t>Geschäftsreisen sind bereits in Scope 1 inkludiert, da diese ausschließlich über den KDE-Fuhrpark stattfinden.</w:t>
      </w:r>
    </w:p>
    <w:p w14:paraId="45085B09" w14:textId="6E7135AF" w:rsidR="00693BB5" w:rsidRPr="00234AE8" w:rsidRDefault="00164D2B" w:rsidP="009215B1">
      <w:pPr>
        <w:pStyle w:val="Listenabsatz"/>
        <w:numPr>
          <w:ilvl w:val="0"/>
          <w:numId w:val="41"/>
        </w:numPr>
        <w:spacing w:line="280" w:lineRule="atLeast"/>
        <w:ind w:left="426"/>
        <w:rPr>
          <w:rFonts w:cs="Arial"/>
          <w:color w:val="auto"/>
          <w:lang w:bidi="x-none"/>
        </w:rPr>
      </w:pPr>
      <w:r w:rsidRPr="00234AE8">
        <w:rPr>
          <w:rFonts w:cs="Arial"/>
          <w:color w:val="auto"/>
          <w:lang w:bidi="x-none"/>
        </w:rPr>
        <w:t xml:space="preserve">Scope 3.7 </w:t>
      </w:r>
      <w:r w:rsidR="007E0351" w:rsidRPr="00234AE8">
        <w:rPr>
          <w:rFonts w:cs="Arial"/>
          <w:color w:val="auto"/>
          <w:lang w:bidi="x-none"/>
        </w:rPr>
        <w:t xml:space="preserve">Pendeln der Arbeitnehmer: Über die Arbeitszeitenanmeldung ist es möglich, alle Anwesenheiten der </w:t>
      </w:r>
      <w:r w:rsidR="009237AD" w:rsidRPr="00D65578">
        <w:rPr>
          <w:rFonts w:cs="Arial"/>
          <w:color w:val="auto"/>
          <w:lang w:bidi="x-none"/>
        </w:rPr>
        <w:t>Teammitglieder</w:t>
      </w:r>
      <w:r w:rsidR="007E0351" w:rsidRPr="00234AE8">
        <w:rPr>
          <w:rFonts w:cs="Arial"/>
          <w:color w:val="auto"/>
          <w:lang w:bidi="x-none"/>
        </w:rPr>
        <w:t xml:space="preserve"> bei KDE festzustellen. Home Office, Urlaub, Krankheitstage können so ausgeschlossen werden. </w:t>
      </w:r>
      <w:r w:rsidR="00693BB5" w:rsidRPr="00234AE8">
        <w:rPr>
          <w:rFonts w:cs="Arial"/>
          <w:color w:val="auto"/>
          <w:lang w:bidi="x-none"/>
        </w:rPr>
        <w:t>Die Fahrstrecke zwischen Wohnung und Arbeitsplatz wurde mit Google Maps ermittelt.</w:t>
      </w:r>
      <w:r w:rsidR="009B77C3" w:rsidRPr="00234AE8">
        <w:rPr>
          <w:rFonts w:cs="Arial"/>
          <w:color w:val="auto"/>
          <w:lang w:bidi="x-none"/>
        </w:rPr>
        <w:t xml:space="preserve"> </w:t>
      </w:r>
      <w:r w:rsidR="009237AD" w:rsidRPr="00234AE8">
        <w:rPr>
          <w:rFonts w:cs="Arial"/>
          <w:color w:val="auto"/>
          <w:lang w:bidi="x-none"/>
        </w:rPr>
        <w:t>Über eine Befragung wurde ermittelt, ob die Teammitglieder per KFZ</w:t>
      </w:r>
      <w:r w:rsidR="009B259F">
        <w:rPr>
          <w:rFonts w:cs="Arial"/>
          <w:color w:val="auto"/>
          <w:lang w:bidi="x-none"/>
        </w:rPr>
        <w:t>,</w:t>
      </w:r>
      <w:r w:rsidR="009237AD" w:rsidRPr="00234AE8">
        <w:rPr>
          <w:rFonts w:cs="Arial"/>
          <w:color w:val="auto"/>
          <w:lang w:bidi="x-none"/>
        </w:rPr>
        <w:t xml:space="preserve"> per Fahrrad, </w:t>
      </w:r>
      <w:r w:rsidR="009B259F">
        <w:rPr>
          <w:rFonts w:cs="Arial"/>
          <w:color w:val="auto"/>
          <w:lang w:bidi="x-none"/>
        </w:rPr>
        <w:t xml:space="preserve">oder </w:t>
      </w:r>
      <w:r w:rsidR="009237AD" w:rsidRPr="00234AE8">
        <w:rPr>
          <w:rFonts w:cs="Arial"/>
          <w:color w:val="auto"/>
          <w:lang w:bidi="x-none"/>
        </w:rPr>
        <w:t xml:space="preserve">zu Fuß zur Arbeit kommen. Bei </w:t>
      </w:r>
      <w:r w:rsidR="009B77C3" w:rsidRPr="00234AE8">
        <w:rPr>
          <w:rFonts w:cs="Arial"/>
          <w:color w:val="auto"/>
          <w:lang w:bidi="x-none"/>
        </w:rPr>
        <w:t xml:space="preserve">Fahrten mit dem PKW </w:t>
      </w:r>
      <w:r w:rsidR="009237AD" w:rsidRPr="00234AE8">
        <w:rPr>
          <w:rFonts w:cs="Arial"/>
          <w:color w:val="auto"/>
          <w:lang w:bidi="x-none"/>
        </w:rPr>
        <w:t>wurde die</w:t>
      </w:r>
      <w:r w:rsidR="0048102A" w:rsidRPr="00234AE8">
        <w:rPr>
          <w:rFonts w:cs="Arial"/>
          <w:color w:val="auto"/>
          <w:lang w:bidi="x-none"/>
        </w:rPr>
        <w:t xml:space="preserve"> Treibstoffart des jeweiligen PKW </w:t>
      </w:r>
      <w:r w:rsidR="009237AD" w:rsidRPr="00234AE8">
        <w:rPr>
          <w:rFonts w:cs="Arial"/>
          <w:color w:val="auto"/>
          <w:lang w:bidi="x-none"/>
        </w:rPr>
        <w:t xml:space="preserve">in der </w:t>
      </w:r>
      <w:r w:rsidR="0048102A" w:rsidRPr="00234AE8">
        <w:rPr>
          <w:rFonts w:cs="Arial"/>
          <w:color w:val="auto"/>
          <w:lang w:bidi="x-none"/>
        </w:rPr>
        <w:t>Befragung ermittelt</w:t>
      </w:r>
      <w:r w:rsidR="009237AD" w:rsidRPr="00D65578">
        <w:rPr>
          <w:rFonts w:cs="Arial"/>
          <w:color w:val="auto"/>
          <w:lang w:bidi="x-none"/>
        </w:rPr>
        <w:t>, es wurde mit einem mittleren Verbrauch von 6l / 100 km kalkuliert</w:t>
      </w:r>
      <w:r w:rsidR="009B77C3" w:rsidRPr="00234AE8">
        <w:rPr>
          <w:rFonts w:cs="Arial"/>
          <w:color w:val="auto"/>
          <w:lang w:bidi="x-none"/>
        </w:rPr>
        <w:t>.</w:t>
      </w:r>
      <w:r w:rsidR="0048102A" w:rsidRPr="00234AE8">
        <w:rPr>
          <w:rFonts w:cs="Arial"/>
          <w:color w:val="auto"/>
          <w:lang w:bidi="x-none"/>
        </w:rPr>
        <w:t xml:space="preserve"> </w:t>
      </w:r>
    </w:p>
    <w:p w14:paraId="6B5A666F" w14:textId="3FC35C5A" w:rsidR="007E0351" w:rsidRPr="00F822C3" w:rsidRDefault="00164D2B" w:rsidP="002526C0">
      <w:pPr>
        <w:pStyle w:val="Listenabsatz"/>
        <w:numPr>
          <w:ilvl w:val="0"/>
          <w:numId w:val="41"/>
        </w:numPr>
        <w:spacing w:line="280" w:lineRule="atLeast"/>
        <w:ind w:left="426"/>
        <w:rPr>
          <w:rFonts w:cs="Arial"/>
          <w:color w:val="auto"/>
          <w:lang w:bidi="x-none"/>
        </w:rPr>
      </w:pPr>
      <w:r>
        <w:rPr>
          <w:rFonts w:cs="Arial"/>
          <w:color w:val="auto"/>
          <w:lang w:bidi="x-none"/>
        </w:rPr>
        <w:t xml:space="preserve">Scope 3.4 </w:t>
      </w:r>
      <w:r w:rsidR="00693BB5">
        <w:rPr>
          <w:rFonts w:cs="Arial"/>
          <w:color w:val="auto"/>
          <w:lang w:bidi="x-none"/>
        </w:rPr>
        <w:t xml:space="preserve">Vorgelagerte Transporte Direktfahrten: Bei Direktfahrten sind </w:t>
      </w:r>
      <w:r w:rsidR="00693BB5" w:rsidRPr="00234AE8">
        <w:rPr>
          <w:rFonts w:cs="Arial"/>
          <w:color w:val="auto"/>
          <w:lang w:bidi="x-none"/>
        </w:rPr>
        <w:t>Fahrzeugtyp, Sendungs-Bruttogewicht und Kilometer bei jedem Auftrag hinterlegt.</w:t>
      </w:r>
      <w:r w:rsidR="009B259F">
        <w:rPr>
          <w:rFonts w:cs="Arial"/>
          <w:color w:val="auto"/>
          <w:lang w:bidi="x-none"/>
        </w:rPr>
        <w:t xml:space="preserve"> Die so ermittelten Transportkilometer (tkm) wurden mit einem im GLEC</w:t>
      </w:r>
      <w:r w:rsidR="004F1A1C">
        <w:rPr>
          <w:rFonts w:cs="Arial"/>
          <w:color w:val="auto"/>
          <w:lang w:bidi="x-none"/>
        </w:rPr>
        <w:t>-</w:t>
      </w:r>
      <w:r w:rsidR="009B259F">
        <w:rPr>
          <w:rFonts w:cs="Arial"/>
          <w:color w:val="auto"/>
          <w:lang w:bidi="x-none"/>
        </w:rPr>
        <w:t>Standard vorgegebenen Umrechnungsfaktor je Transporttyp in Liter Diesel umgerechnet. Die CO2e wurden auf Basis des Dieselverbrauchs berechnet. Da</w:t>
      </w:r>
      <w:r w:rsidR="00693BB5" w:rsidRPr="00234AE8">
        <w:rPr>
          <w:rFonts w:cs="Arial"/>
          <w:color w:val="auto"/>
          <w:lang w:bidi="x-none"/>
        </w:rPr>
        <w:t xml:space="preserve"> die Transporte von Partnerunternehmen durchgeführt werden, ist eine genauere Ermittlung</w:t>
      </w:r>
      <w:r w:rsidR="007E0351">
        <w:rPr>
          <w:rFonts w:cs="Arial"/>
          <w:color w:val="auto"/>
          <w:lang w:bidi="x-none"/>
        </w:rPr>
        <w:t xml:space="preserve"> </w:t>
      </w:r>
      <w:r w:rsidR="00693BB5">
        <w:rPr>
          <w:rFonts w:cs="Arial"/>
          <w:color w:val="auto"/>
          <w:lang w:bidi="x-none"/>
        </w:rPr>
        <w:t>hier nicht möglich.</w:t>
      </w:r>
      <w:r w:rsidR="002526C0" w:rsidRPr="002526C0">
        <w:rPr>
          <w:rFonts w:cs="Arial"/>
          <w:color w:val="auto"/>
          <w:lang w:bidi="x-none"/>
        </w:rPr>
        <w:t xml:space="preserve"> </w:t>
      </w:r>
      <w:r w:rsidR="002526C0">
        <w:rPr>
          <w:rFonts w:cs="Arial"/>
          <w:color w:val="auto"/>
          <w:lang w:bidi="x-none"/>
        </w:rPr>
        <w:t>Die Berechnung auf Basis des GLEC</w:t>
      </w:r>
      <w:r w:rsidR="004F1A1C">
        <w:rPr>
          <w:rFonts w:cs="Arial"/>
          <w:color w:val="auto"/>
          <w:lang w:bidi="x-none"/>
        </w:rPr>
        <w:t>-</w:t>
      </w:r>
      <w:r w:rsidR="002526C0">
        <w:rPr>
          <w:rFonts w:cs="Arial"/>
          <w:color w:val="auto"/>
          <w:lang w:bidi="x-none"/>
        </w:rPr>
        <w:t>Umrechnungsfaktor erfolgt seit 2022.</w:t>
      </w:r>
    </w:p>
    <w:p w14:paraId="0584A1A8" w14:textId="669C659A" w:rsidR="00693BB5" w:rsidRPr="00B87031" w:rsidRDefault="002C6EF5" w:rsidP="009215B1">
      <w:pPr>
        <w:pStyle w:val="Listenabsatz"/>
        <w:numPr>
          <w:ilvl w:val="0"/>
          <w:numId w:val="41"/>
        </w:numPr>
        <w:spacing w:line="280" w:lineRule="atLeast"/>
        <w:ind w:left="426"/>
        <w:rPr>
          <w:rFonts w:cs="Arial"/>
          <w:color w:val="auto"/>
          <w:lang w:bidi="x-none"/>
        </w:rPr>
      </w:pPr>
      <w:r w:rsidRPr="00B87031">
        <w:rPr>
          <w:rFonts w:cs="Arial"/>
          <w:color w:val="auto"/>
          <w:lang w:bidi="x-none"/>
        </w:rPr>
        <w:t xml:space="preserve">Scope 3.4 </w:t>
      </w:r>
      <w:r w:rsidR="00693BB5" w:rsidRPr="00B87031">
        <w:rPr>
          <w:rFonts w:cs="Arial"/>
          <w:color w:val="auto"/>
          <w:lang w:bidi="x-none"/>
        </w:rPr>
        <w:t xml:space="preserve">Vorgelagerte Transporte Overnight-Express: Das Bruttogewicht jeder Sendung ist im Auftrag hinterlegt. Die Abholung der Sendungen beim Kunden erfolgt über KDE-Fahrzeuge und ist somit in Scope 1 bereits enthalten. Es ist bekannt, dass die Linienfahrzeuge Transporter </w:t>
      </w:r>
      <w:r w:rsidR="009237AD">
        <w:rPr>
          <w:rFonts w:cs="Arial"/>
          <w:color w:val="auto"/>
          <w:lang w:bidi="x-none"/>
        </w:rPr>
        <w:t xml:space="preserve">TP 3,5 to </w:t>
      </w:r>
      <w:r w:rsidR="00693BB5" w:rsidRPr="00B87031">
        <w:rPr>
          <w:rFonts w:cs="Arial"/>
          <w:color w:val="auto"/>
          <w:lang w:bidi="x-none"/>
        </w:rPr>
        <w:t>sind, die zu 100% ausgelastet sind und 1</w:t>
      </w:r>
      <w:r w:rsidR="009237AD">
        <w:rPr>
          <w:rFonts w:cs="Arial"/>
          <w:color w:val="auto"/>
          <w:lang w:bidi="x-none"/>
        </w:rPr>
        <w:t>.</w:t>
      </w:r>
      <w:r w:rsidR="00693BB5" w:rsidRPr="00B87031">
        <w:rPr>
          <w:rFonts w:cs="Arial"/>
          <w:color w:val="auto"/>
          <w:lang w:bidi="x-none"/>
        </w:rPr>
        <w:t xml:space="preserve">000 kg transportieren. Für die Transportdistanz hat KDE </w:t>
      </w:r>
      <w:r w:rsidR="0048102A" w:rsidRPr="00B87031">
        <w:rPr>
          <w:rFonts w:cs="Arial"/>
          <w:color w:val="auto"/>
          <w:lang w:bidi="x-none"/>
        </w:rPr>
        <w:t>für die meisten Destinationen die tatsächliche Distanz ermittelt und</w:t>
      </w:r>
      <w:r w:rsidR="00B87031" w:rsidRPr="00D65578">
        <w:rPr>
          <w:rFonts w:cs="Arial"/>
          <w:color w:val="auto"/>
          <w:lang w:bidi="x-none"/>
        </w:rPr>
        <w:t xml:space="preserve"> bei den übrigen </w:t>
      </w:r>
      <w:r w:rsidR="0048102A" w:rsidRPr="00B87031">
        <w:rPr>
          <w:rFonts w:cs="Arial"/>
          <w:color w:val="auto"/>
          <w:lang w:bidi="x-none"/>
        </w:rPr>
        <w:t>den</w:t>
      </w:r>
      <w:r w:rsidR="00693BB5" w:rsidRPr="00B87031">
        <w:rPr>
          <w:rFonts w:cs="Arial"/>
          <w:color w:val="auto"/>
          <w:lang w:bidi="x-none"/>
        </w:rPr>
        <w:t xml:space="preserve"> Mittelwert aus den Overnight-Sendungen eines Monats errechnet (3</w:t>
      </w:r>
      <w:r w:rsidR="0048102A" w:rsidRPr="00B87031">
        <w:rPr>
          <w:rFonts w:cs="Arial"/>
          <w:color w:val="auto"/>
          <w:lang w:bidi="x-none"/>
        </w:rPr>
        <w:t>15</w:t>
      </w:r>
      <w:r w:rsidR="00693BB5" w:rsidRPr="00B87031">
        <w:rPr>
          <w:rFonts w:cs="Arial"/>
          <w:color w:val="auto"/>
          <w:lang w:bidi="x-none"/>
        </w:rPr>
        <w:t xml:space="preserve">km) und 35km durchschnittliche Umweg-Kilometer (über Hub, Partner zum Empfänger) aufgeschlagen. </w:t>
      </w:r>
      <w:r w:rsidR="009B259F">
        <w:rPr>
          <w:rFonts w:cs="Arial"/>
          <w:color w:val="auto"/>
          <w:lang w:bidi="x-none"/>
        </w:rPr>
        <w:t>Die so ermittelten Transportkilometer (tkm) wurden mit einem im GLEC</w:t>
      </w:r>
      <w:r w:rsidR="004F1A1C">
        <w:rPr>
          <w:rFonts w:cs="Arial"/>
          <w:color w:val="auto"/>
          <w:lang w:bidi="x-none"/>
        </w:rPr>
        <w:t>-</w:t>
      </w:r>
      <w:r w:rsidR="009B259F">
        <w:rPr>
          <w:rFonts w:cs="Arial"/>
          <w:color w:val="auto"/>
          <w:lang w:bidi="x-none"/>
        </w:rPr>
        <w:t>Standard vorgegebenen Umrechnungsfaktor je Transporttyp in Liter Diesel umgerechnet. Die CO2e wurden auf Basis des Dieselverbrauchs berechnet.</w:t>
      </w:r>
      <w:r w:rsidR="002526C0">
        <w:rPr>
          <w:rFonts w:cs="Arial"/>
          <w:color w:val="auto"/>
          <w:lang w:bidi="x-none"/>
        </w:rPr>
        <w:t xml:space="preserve"> Die Berechnung auf Basis des GLEC</w:t>
      </w:r>
      <w:r w:rsidR="004F1A1C">
        <w:rPr>
          <w:rFonts w:cs="Arial"/>
          <w:color w:val="auto"/>
          <w:lang w:bidi="x-none"/>
        </w:rPr>
        <w:t>-</w:t>
      </w:r>
      <w:r w:rsidR="002526C0">
        <w:rPr>
          <w:rFonts w:cs="Arial"/>
          <w:color w:val="auto"/>
          <w:lang w:bidi="x-none"/>
        </w:rPr>
        <w:t>Umrechnungsfaktor erfolgt seit 2022.</w:t>
      </w:r>
    </w:p>
    <w:p w14:paraId="59A66675" w14:textId="1EE9420E" w:rsidR="00693BB5" w:rsidRDefault="002C6EF5" w:rsidP="009215B1">
      <w:pPr>
        <w:pStyle w:val="Listenabsatz"/>
        <w:numPr>
          <w:ilvl w:val="0"/>
          <w:numId w:val="41"/>
        </w:numPr>
        <w:spacing w:line="280" w:lineRule="atLeast"/>
        <w:ind w:left="426"/>
        <w:rPr>
          <w:rFonts w:cs="Arial"/>
          <w:color w:val="auto"/>
          <w:lang w:bidi="x-none"/>
        </w:rPr>
      </w:pPr>
      <w:r>
        <w:rPr>
          <w:rFonts w:cs="Arial"/>
          <w:color w:val="auto"/>
          <w:lang w:bidi="x-none"/>
        </w:rPr>
        <w:t xml:space="preserve">Scope 3.4 </w:t>
      </w:r>
      <w:r w:rsidR="00693BB5">
        <w:rPr>
          <w:rFonts w:cs="Arial"/>
          <w:color w:val="auto"/>
          <w:lang w:bidi="x-none"/>
        </w:rPr>
        <w:t>Vorgelagerte Transporte Luftfracht: Auch hier ist das Bruttosendungsgewicht bekannt und die Distanz wird über Google Maps bzw</w:t>
      </w:r>
      <w:r w:rsidR="00693BB5" w:rsidRPr="004A1400">
        <w:rPr>
          <w:rFonts w:cs="Arial"/>
          <w:color w:val="auto"/>
          <w:lang w:bidi="x-none"/>
        </w:rPr>
        <w:t xml:space="preserve">. </w:t>
      </w:r>
      <w:hyperlink r:id="rId16" w:history="1">
        <w:r w:rsidR="00693BB5" w:rsidRPr="004A1400">
          <w:rPr>
            <w:rStyle w:val="Hyperlink"/>
            <w:rFonts w:ascii="Arial" w:hAnsi="Arial" w:cs="Arial"/>
            <w:color w:val="auto"/>
            <w:sz w:val="22"/>
            <w:lang w:bidi="x-none"/>
          </w:rPr>
          <w:t>https://www.luftlinie.org/</w:t>
        </w:r>
      </w:hyperlink>
      <w:r w:rsidR="00693BB5">
        <w:rPr>
          <w:rFonts w:cs="Arial"/>
          <w:color w:val="auto"/>
          <w:lang w:bidi="x-none"/>
        </w:rPr>
        <w:t xml:space="preserve"> ermittelt. </w:t>
      </w:r>
    </w:p>
    <w:p w14:paraId="2AD3DF96" w14:textId="6A738CAA" w:rsidR="007E0351" w:rsidRDefault="007E0351" w:rsidP="00683184">
      <w:pPr>
        <w:spacing w:line="280" w:lineRule="atLeast"/>
        <w:rPr>
          <w:rFonts w:cs="Arial"/>
          <w:color w:val="auto"/>
          <w:lang w:bidi="x-none"/>
        </w:rPr>
      </w:pPr>
    </w:p>
    <w:p w14:paraId="6DE84A45" w14:textId="627CD74B" w:rsidR="00683184" w:rsidRDefault="00683184" w:rsidP="00683184">
      <w:pPr>
        <w:spacing w:line="280" w:lineRule="atLeast"/>
        <w:rPr>
          <w:rFonts w:cs="Arial"/>
          <w:color w:val="auto"/>
          <w:lang w:bidi="x-none"/>
        </w:rPr>
      </w:pPr>
      <w:r w:rsidRPr="00683184">
        <w:rPr>
          <w:rFonts w:cs="Arial"/>
          <w:color w:val="auto"/>
          <w:lang w:bidi="x-none"/>
        </w:rPr>
        <w:t>In</w:t>
      </w:r>
      <w:r>
        <w:rPr>
          <w:rFonts w:cs="Arial"/>
          <w:color w:val="auto"/>
          <w:lang w:bidi="x-none"/>
        </w:rPr>
        <w:t xml:space="preserve"> </w:t>
      </w:r>
      <w:r w:rsidRPr="00683184">
        <w:rPr>
          <w:rFonts w:cs="Arial"/>
          <w:color w:val="auto"/>
          <w:lang w:bidi="x-none"/>
        </w:rPr>
        <w:t>den folgenden Scope 3 Kate</w:t>
      </w:r>
      <w:r w:rsidRPr="00D65578">
        <w:rPr>
          <w:rFonts w:cs="Arial"/>
          <w:color w:val="auto"/>
          <w:lang w:bidi="x-none"/>
        </w:rPr>
        <w:t>gorien sind im</w:t>
      </w:r>
      <w:r>
        <w:rPr>
          <w:rFonts w:cs="Arial"/>
          <w:color w:val="auto"/>
          <w:lang w:bidi="x-none"/>
        </w:rPr>
        <w:t xml:space="preserve"> Bilanzierungsjahr keine Emissionen bei KDE angefallen</w:t>
      </w:r>
      <w:r w:rsidR="00CF6C56">
        <w:rPr>
          <w:rFonts w:cs="Arial"/>
          <w:color w:val="auto"/>
          <w:lang w:bidi="x-none"/>
        </w:rPr>
        <w:t>, da die Emissionsquellen für KDE nicht vorhanden sind</w:t>
      </w:r>
      <w:r>
        <w:rPr>
          <w:rFonts w:cs="Arial"/>
          <w:color w:val="auto"/>
          <w:lang w:bidi="x-none"/>
        </w:rPr>
        <w:t xml:space="preserve">: </w:t>
      </w:r>
    </w:p>
    <w:p w14:paraId="7BCC2702" w14:textId="620169C4" w:rsidR="00683184" w:rsidRDefault="00683184" w:rsidP="00683184">
      <w:pPr>
        <w:spacing w:line="280" w:lineRule="atLeast"/>
        <w:rPr>
          <w:rFonts w:cs="Arial"/>
          <w:color w:val="auto"/>
          <w:lang w:bidi="x-none"/>
        </w:rPr>
      </w:pPr>
    </w:p>
    <w:p w14:paraId="3E71F05E" w14:textId="094685F6" w:rsidR="00683184" w:rsidRPr="00D65578" w:rsidRDefault="00683184" w:rsidP="00D65578">
      <w:pPr>
        <w:pStyle w:val="Listenabsatz"/>
        <w:numPr>
          <w:ilvl w:val="0"/>
          <w:numId w:val="43"/>
        </w:numPr>
        <w:spacing w:line="280" w:lineRule="atLeast"/>
        <w:rPr>
          <w:rFonts w:cs="Arial"/>
          <w:color w:val="auto"/>
          <w:lang w:bidi="x-none"/>
        </w:rPr>
      </w:pPr>
      <w:r w:rsidRPr="00D65578">
        <w:rPr>
          <w:rFonts w:cs="Arial"/>
          <w:color w:val="auto"/>
          <w:lang w:bidi="x-none"/>
        </w:rPr>
        <w:t xml:space="preserve">Scope 1: Direkte Emissionen aus Klimaanlagen, flüchtigen Gasen oder Prozessemissionen. </w:t>
      </w:r>
    </w:p>
    <w:p w14:paraId="22D72054" w14:textId="2E9979FB" w:rsidR="00CF6C56" w:rsidRPr="00D65578" w:rsidRDefault="00683184" w:rsidP="00D65578">
      <w:pPr>
        <w:pStyle w:val="Listenabsatz"/>
        <w:numPr>
          <w:ilvl w:val="0"/>
          <w:numId w:val="43"/>
        </w:numPr>
        <w:spacing w:line="280" w:lineRule="atLeast"/>
        <w:rPr>
          <w:rFonts w:cs="Arial"/>
          <w:color w:val="auto"/>
          <w:lang w:bidi="x-none"/>
        </w:rPr>
      </w:pPr>
      <w:r w:rsidRPr="00D65578">
        <w:rPr>
          <w:rFonts w:cs="Arial"/>
          <w:color w:val="auto"/>
          <w:lang w:bidi="x-none"/>
        </w:rPr>
        <w:t xml:space="preserve">Scope 2: Indirekte Emissionen aus </w:t>
      </w:r>
      <w:r w:rsidR="00CF6C56" w:rsidRPr="00D65578">
        <w:rPr>
          <w:rFonts w:cs="Arial"/>
          <w:color w:val="auto"/>
          <w:lang w:bidi="x-none"/>
        </w:rPr>
        <w:t>Fernwär</w:t>
      </w:r>
      <w:r w:rsidR="0048102A">
        <w:rPr>
          <w:rFonts w:cs="Arial"/>
          <w:color w:val="auto"/>
          <w:lang w:bidi="x-none"/>
        </w:rPr>
        <w:t>m</w:t>
      </w:r>
      <w:r w:rsidR="00CF6C56" w:rsidRPr="00D65578">
        <w:rPr>
          <w:rFonts w:cs="Arial"/>
          <w:color w:val="auto"/>
          <w:lang w:bidi="x-none"/>
        </w:rPr>
        <w:t xml:space="preserve">e oder -kälte oder Dampf. </w:t>
      </w:r>
    </w:p>
    <w:p w14:paraId="44024CF3" w14:textId="62600099" w:rsidR="00CF6C56" w:rsidRPr="00D65578" w:rsidRDefault="00CF6C56" w:rsidP="00D65578">
      <w:pPr>
        <w:pStyle w:val="Listenabsatz"/>
        <w:numPr>
          <w:ilvl w:val="0"/>
          <w:numId w:val="43"/>
        </w:numPr>
        <w:spacing w:line="280" w:lineRule="atLeast"/>
        <w:rPr>
          <w:rFonts w:cs="Arial"/>
          <w:color w:val="auto"/>
          <w:lang w:bidi="x-none"/>
        </w:rPr>
      </w:pPr>
      <w:r w:rsidRPr="00D65578">
        <w:rPr>
          <w:rFonts w:cs="Arial"/>
          <w:color w:val="auto"/>
          <w:lang w:bidi="x-none"/>
        </w:rPr>
        <w:t>Scope 3: Indirekte Emissionen angemietet oder geleaste Sachanlagen (Scope 3.8), nachgelagerter Transport und Logistik (Scope 3.9), Verarbeitung von verkauften Produkten (Scope 3.10), Nutzungsphase der Produkte (Scope 3.11), Produktlebenszyklusende (Scope 3.12), vermietet oder geleaste Sachanlagen (Scope 3.13), F</w:t>
      </w:r>
      <w:r w:rsidR="00F822C3">
        <w:rPr>
          <w:rFonts w:cs="Arial"/>
          <w:color w:val="auto"/>
          <w:lang w:bidi="x-none"/>
        </w:rPr>
        <w:t>r</w:t>
      </w:r>
      <w:r w:rsidRPr="00D65578">
        <w:rPr>
          <w:rFonts w:cs="Arial"/>
          <w:color w:val="auto"/>
          <w:lang w:bidi="x-none"/>
        </w:rPr>
        <w:t>anchise (Scope 3.14) und Investitionen (Scope 3.15).</w:t>
      </w:r>
    </w:p>
    <w:p w14:paraId="544620DB" w14:textId="77777777" w:rsidR="00683184" w:rsidRPr="00683184" w:rsidRDefault="00683184" w:rsidP="00683184">
      <w:pPr>
        <w:spacing w:line="280" w:lineRule="atLeast"/>
        <w:rPr>
          <w:rFonts w:cs="Arial"/>
          <w:color w:val="auto"/>
          <w:lang w:bidi="x-none"/>
        </w:rPr>
      </w:pPr>
    </w:p>
    <w:p w14:paraId="7620FC14" w14:textId="77777777" w:rsidR="00683184" w:rsidRPr="00D65578" w:rsidRDefault="00683184" w:rsidP="00D65578">
      <w:pPr>
        <w:spacing w:line="280" w:lineRule="atLeast"/>
        <w:rPr>
          <w:rFonts w:cs="Arial"/>
          <w:color w:val="auto"/>
          <w:lang w:bidi="x-none"/>
        </w:rPr>
      </w:pPr>
    </w:p>
    <w:p w14:paraId="61B1A6A6" w14:textId="0DF283FC" w:rsidR="005B01CB" w:rsidRPr="005B01CB" w:rsidRDefault="00BA33BF" w:rsidP="009215B1">
      <w:pPr>
        <w:spacing w:after="120" w:line="280" w:lineRule="atLeast"/>
        <w:rPr>
          <w:rFonts w:cs="Arial"/>
          <w:b/>
        </w:rPr>
      </w:pPr>
      <w:r>
        <w:t xml:space="preserve">Quellen der </w:t>
      </w:r>
      <w:r w:rsidR="005B01CB">
        <w:t>zugrunde gelegten Emissionsfaktoren:</w:t>
      </w:r>
    </w:p>
    <w:p w14:paraId="35E81F82" w14:textId="44BAAD68" w:rsidR="005B01CB" w:rsidRPr="00AC0B61" w:rsidRDefault="005B01CB" w:rsidP="009215B1">
      <w:pPr>
        <w:spacing w:line="280" w:lineRule="atLeast"/>
        <w:rPr>
          <w:rFonts w:cs="Arial"/>
          <w:color w:val="auto"/>
          <w:lang w:val="en-US"/>
        </w:rPr>
      </w:pPr>
      <w:r w:rsidRPr="00AC0B61">
        <w:rPr>
          <w:rFonts w:cs="Arial"/>
          <w:color w:val="auto"/>
          <w:lang w:val="en-US"/>
        </w:rPr>
        <w:t>BEIS 2020</w:t>
      </w:r>
      <w:r w:rsidR="0023726F">
        <w:rPr>
          <w:rFonts w:cs="Arial"/>
          <w:color w:val="auto"/>
          <w:lang w:val="en-US"/>
        </w:rPr>
        <w:t>-202</w:t>
      </w:r>
      <w:r w:rsidR="002526C0">
        <w:rPr>
          <w:rFonts w:cs="Arial"/>
          <w:color w:val="auto"/>
          <w:lang w:val="en-US"/>
        </w:rPr>
        <w:t>2</w:t>
      </w:r>
      <w:r w:rsidRPr="00AC0B61">
        <w:rPr>
          <w:rFonts w:cs="Arial"/>
          <w:color w:val="auto"/>
          <w:lang w:val="en-US"/>
        </w:rPr>
        <w:t xml:space="preserve"> - UK Department for Business, Energy &amp; Industrial Strategy </w:t>
      </w:r>
    </w:p>
    <w:p w14:paraId="250D9226" w14:textId="1ACB8D25" w:rsidR="005B01CB" w:rsidRPr="00AC0B61" w:rsidRDefault="005B01CB" w:rsidP="009215B1">
      <w:pPr>
        <w:spacing w:line="280" w:lineRule="atLeast"/>
        <w:rPr>
          <w:rFonts w:cs="Arial"/>
          <w:color w:val="auto"/>
          <w:lang w:val="en-US"/>
        </w:rPr>
      </w:pPr>
      <w:r w:rsidRPr="00AC0B61">
        <w:rPr>
          <w:rFonts w:cs="Arial"/>
          <w:color w:val="auto"/>
          <w:lang w:val="en-US"/>
        </w:rPr>
        <w:t>"Government conversion factors for company reporting of greenhouse gas emissions"</w:t>
      </w:r>
    </w:p>
    <w:p w14:paraId="14AC8011" w14:textId="77777777" w:rsidR="005B01CB" w:rsidRPr="00BA33BF" w:rsidRDefault="005B01CB" w:rsidP="009215B1">
      <w:pPr>
        <w:spacing w:line="280" w:lineRule="atLeast"/>
        <w:rPr>
          <w:rFonts w:cs="Arial"/>
          <w:color w:val="auto"/>
        </w:rPr>
      </w:pPr>
      <w:r w:rsidRPr="00BA33BF">
        <w:rPr>
          <w:rFonts w:cs="Arial"/>
          <w:color w:val="auto"/>
        </w:rPr>
        <w:t xml:space="preserve">Webseite: </w:t>
      </w:r>
      <w:hyperlink r:id="rId17" w:history="1">
        <w:r w:rsidRPr="00BA33BF">
          <w:rPr>
            <w:rStyle w:val="Hyperlink"/>
            <w:rFonts w:ascii="Arial" w:hAnsi="Arial" w:cs="Arial"/>
            <w:color w:val="auto"/>
            <w:sz w:val="22"/>
          </w:rPr>
          <w:t>https://www.gov.uk/government/collections/government-conversion-factors-for-company-reporting</w:t>
        </w:r>
      </w:hyperlink>
      <w:r w:rsidRPr="00BA33BF">
        <w:rPr>
          <w:rFonts w:cs="Arial"/>
          <w:color w:val="auto"/>
        </w:rPr>
        <w:t> </w:t>
      </w:r>
    </w:p>
    <w:p w14:paraId="4BB4BBEA" w14:textId="77777777" w:rsidR="005B01CB" w:rsidRPr="00BA33BF" w:rsidRDefault="005B01CB" w:rsidP="009215B1">
      <w:pPr>
        <w:spacing w:line="280" w:lineRule="atLeast"/>
        <w:rPr>
          <w:rFonts w:cs="Arial"/>
          <w:color w:val="auto"/>
        </w:rPr>
      </w:pPr>
    </w:p>
    <w:p w14:paraId="6F99D56C" w14:textId="489B37E9" w:rsidR="005B01CB" w:rsidRPr="00BA33BF" w:rsidRDefault="005B01CB" w:rsidP="009215B1">
      <w:pPr>
        <w:spacing w:line="280" w:lineRule="atLeast"/>
        <w:rPr>
          <w:rFonts w:cs="Arial"/>
          <w:color w:val="auto"/>
        </w:rPr>
      </w:pPr>
      <w:r w:rsidRPr="00BA33BF">
        <w:rPr>
          <w:rFonts w:cs="Arial"/>
          <w:color w:val="auto"/>
        </w:rPr>
        <w:t>VFU 2020</w:t>
      </w:r>
      <w:r w:rsidR="0023726F">
        <w:rPr>
          <w:rFonts w:cs="Arial"/>
          <w:color w:val="auto"/>
        </w:rPr>
        <w:t>-202</w:t>
      </w:r>
      <w:r w:rsidR="002526C0">
        <w:rPr>
          <w:rFonts w:cs="Arial"/>
          <w:color w:val="auto"/>
        </w:rPr>
        <w:t>2</w:t>
      </w:r>
    </w:p>
    <w:p w14:paraId="7B9D9321" w14:textId="77777777" w:rsidR="005B01CB" w:rsidRPr="00BA33BF" w:rsidRDefault="005B01CB" w:rsidP="009215B1">
      <w:pPr>
        <w:spacing w:line="280" w:lineRule="atLeast"/>
        <w:rPr>
          <w:rFonts w:cs="Arial"/>
          <w:color w:val="auto"/>
        </w:rPr>
      </w:pPr>
      <w:r w:rsidRPr="00BA33BF">
        <w:rPr>
          <w:rFonts w:cs="Arial"/>
          <w:color w:val="auto"/>
        </w:rPr>
        <w:t>VfU Kennzahlentool, Blatt B Calculation</w:t>
      </w:r>
    </w:p>
    <w:p w14:paraId="672265C7" w14:textId="77777777" w:rsidR="005B01CB" w:rsidRPr="00BA33BF" w:rsidRDefault="005B01CB" w:rsidP="009215B1">
      <w:pPr>
        <w:spacing w:line="280" w:lineRule="atLeast"/>
        <w:rPr>
          <w:rFonts w:cs="Arial"/>
          <w:color w:val="auto"/>
        </w:rPr>
      </w:pPr>
      <w:r w:rsidRPr="00BA33BF">
        <w:rPr>
          <w:rFonts w:cs="Arial"/>
          <w:color w:val="auto"/>
        </w:rPr>
        <w:t>Webseite: </w:t>
      </w:r>
      <w:hyperlink r:id="rId18" w:history="1">
        <w:r w:rsidRPr="00BA33BF">
          <w:rPr>
            <w:rStyle w:val="Hyperlink"/>
            <w:rFonts w:ascii="Arial" w:hAnsi="Arial" w:cs="Arial"/>
            <w:color w:val="auto"/>
            <w:sz w:val="22"/>
          </w:rPr>
          <w:t>https://www.vfu.de/tools/</w:t>
        </w:r>
      </w:hyperlink>
      <w:r w:rsidRPr="00BA33BF">
        <w:rPr>
          <w:rFonts w:cs="Arial"/>
          <w:color w:val="auto"/>
        </w:rPr>
        <w:t> </w:t>
      </w:r>
    </w:p>
    <w:p w14:paraId="42056AF8" w14:textId="688F6C7C" w:rsidR="005B01CB" w:rsidRPr="00044967" w:rsidRDefault="005B01CB" w:rsidP="009215B1">
      <w:pPr>
        <w:pStyle w:val="Titel"/>
        <w:spacing w:line="280" w:lineRule="atLeast"/>
        <w:rPr>
          <w:rFonts w:cs="Arial"/>
          <w:sz w:val="22"/>
          <w:szCs w:val="22"/>
        </w:rPr>
        <w:sectPr w:rsidR="005B01CB" w:rsidRPr="00044967" w:rsidSect="00D65578">
          <w:pgSz w:w="11899" w:h="16838"/>
          <w:pgMar w:top="1560" w:right="1797" w:bottom="1134" w:left="1843" w:header="142" w:footer="709" w:gutter="0"/>
          <w:cols w:space="708"/>
          <w:titlePg/>
          <w:docGrid w:linePitch="299"/>
        </w:sectPr>
      </w:pPr>
    </w:p>
    <w:p w14:paraId="42710B0B" w14:textId="508B6507" w:rsidR="00973942" w:rsidRPr="00A86FC2" w:rsidRDefault="008A4B88" w:rsidP="009215B1">
      <w:pPr>
        <w:pStyle w:val="Titel"/>
        <w:spacing w:line="280" w:lineRule="atLeast"/>
        <w:jc w:val="left"/>
        <w:rPr>
          <w:rFonts w:cs="Arial"/>
          <w:b/>
          <w:color w:val="auto"/>
          <w:sz w:val="28"/>
          <w:szCs w:val="28"/>
        </w:rPr>
      </w:pPr>
      <w:bookmarkStart w:id="206" w:name="_Toc73110771"/>
      <w:bookmarkStart w:id="207" w:name="_Toc135811112"/>
      <w:r w:rsidRPr="00A86FC2">
        <w:rPr>
          <w:rFonts w:cs="Arial"/>
          <w:b/>
          <w:color w:val="auto"/>
          <w:sz w:val="28"/>
          <w:szCs w:val="28"/>
        </w:rPr>
        <w:t>Teil</w:t>
      </w:r>
      <w:r w:rsidR="00A86FC2">
        <w:rPr>
          <w:rFonts w:cs="Arial"/>
          <w:b/>
          <w:color w:val="auto"/>
          <w:sz w:val="28"/>
          <w:szCs w:val="28"/>
        </w:rPr>
        <w:t xml:space="preserve"> II</w:t>
      </w:r>
      <w:r w:rsidR="00973942" w:rsidRPr="00A86FC2">
        <w:rPr>
          <w:rFonts w:cs="Arial"/>
          <w:b/>
          <w:color w:val="auto"/>
          <w:sz w:val="28"/>
          <w:szCs w:val="28"/>
        </w:rPr>
        <w:t xml:space="preserve">: </w:t>
      </w:r>
      <w:r w:rsidR="00C570CF">
        <w:rPr>
          <w:rFonts w:cs="Arial"/>
          <w:b/>
          <w:color w:val="auto"/>
          <w:sz w:val="28"/>
          <w:szCs w:val="28"/>
        </w:rPr>
        <w:t>Weitergehende</w:t>
      </w:r>
      <w:r w:rsidR="00973942" w:rsidRPr="00A86FC2">
        <w:rPr>
          <w:rFonts w:cs="Arial"/>
          <w:b/>
          <w:color w:val="auto"/>
          <w:sz w:val="28"/>
          <w:szCs w:val="28"/>
        </w:rPr>
        <w:t xml:space="preserve"> Information</w:t>
      </w:r>
      <w:r w:rsidRPr="00A86FC2">
        <w:rPr>
          <w:rFonts w:cs="Arial"/>
          <w:b/>
          <w:color w:val="auto"/>
          <w:sz w:val="28"/>
          <w:szCs w:val="28"/>
        </w:rPr>
        <w:t>en</w:t>
      </w:r>
      <w:bookmarkEnd w:id="206"/>
      <w:bookmarkEnd w:id="207"/>
    </w:p>
    <w:p w14:paraId="4AA7631B" w14:textId="0EFBEF9F" w:rsidR="00044967" w:rsidRDefault="00044967" w:rsidP="002422AE">
      <w:pPr>
        <w:pStyle w:val="berschrift1"/>
      </w:pPr>
      <w:bookmarkStart w:id="208" w:name="_Toc73110772"/>
      <w:bookmarkStart w:id="209" w:name="_Toc135811113"/>
      <w:r>
        <w:t>Klimaperformance</w:t>
      </w:r>
      <w:bookmarkEnd w:id="208"/>
      <w:bookmarkEnd w:id="209"/>
    </w:p>
    <w:p w14:paraId="304135FF" w14:textId="742DCEB0" w:rsidR="00973942" w:rsidRPr="00044967" w:rsidRDefault="002168F0" w:rsidP="0049297C">
      <w:pPr>
        <w:pStyle w:val="berschrift2"/>
        <w:spacing w:before="360" w:after="160" w:line="280" w:lineRule="atLeast"/>
        <w:ind w:left="578" w:hanging="578"/>
        <w:rPr>
          <w:sz w:val="22"/>
          <w:szCs w:val="22"/>
        </w:rPr>
      </w:pPr>
      <w:bookmarkStart w:id="210" w:name="_Toc73110774"/>
      <w:bookmarkStart w:id="211" w:name="_Toc135811114"/>
      <w:r w:rsidRPr="00044967">
        <w:rPr>
          <w:sz w:val="22"/>
          <w:szCs w:val="22"/>
        </w:rPr>
        <w:t>Leistungsindikatoren</w:t>
      </w:r>
      <w:bookmarkEnd w:id="210"/>
      <w:bookmarkEnd w:id="211"/>
      <w:r w:rsidR="00973942" w:rsidRPr="00044967">
        <w:rPr>
          <w:sz w:val="22"/>
          <w:szCs w:val="22"/>
        </w:rPr>
        <w:tab/>
      </w:r>
    </w:p>
    <w:p w14:paraId="0184F7F2" w14:textId="448E6DFC" w:rsidR="00631F76" w:rsidRDefault="00A645D3" w:rsidP="009215B1">
      <w:pPr>
        <w:spacing w:line="280" w:lineRule="atLeast"/>
        <w:rPr>
          <w:rFonts w:cs="Arial"/>
          <w:color w:val="auto"/>
        </w:rPr>
      </w:pPr>
      <w:r w:rsidRPr="00184227">
        <w:rPr>
          <w:rFonts w:cs="Arial"/>
          <w:color w:val="auto"/>
        </w:rPr>
        <w:t>Leistungsindikatoren</w:t>
      </w:r>
      <w:r w:rsidR="00184227" w:rsidRPr="00184227">
        <w:rPr>
          <w:rFonts w:cs="Arial"/>
          <w:color w:val="auto"/>
        </w:rPr>
        <w:t xml:space="preserve"> </w:t>
      </w:r>
      <w:r w:rsidR="00FC2703">
        <w:rPr>
          <w:rFonts w:cs="Arial"/>
          <w:color w:val="auto"/>
        </w:rPr>
        <w:t>ermöglichen</w:t>
      </w:r>
      <w:r w:rsidRPr="00184227">
        <w:rPr>
          <w:rFonts w:cs="Arial"/>
          <w:color w:val="auto"/>
        </w:rPr>
        <w:t xml:space="preserve"> einen Vergleich im Zeitverlauf. Leistungsindikatoren werden üblicherweise </w:t>
      </w:r>
      <w:r w:rsidR="001A6507">
        <w:rPr>
          <w:rFonts w:cs="Arial"/>
          <w:color w:val="auto"/>
        </w:rPr>
        <w:t>vor allem</w:t>
      </w:r>
      <w:r w:rsidR="00290316">
        <w:rPr>
          <w:rFonts w:cs="Arial"/>
          <w:color w:val="auto"/>
        </w:rPr>
        <w:t xml:space="preserve"> </w:t>
      </w:r>
      <w:r w:rsidRPr="00184227">
        <w:rPr>
          <w:rFonts w:cs="Arial"/>
          <w:color w:val="auto"/>
        </w:rPr>
        <w:t xml:space="preserve">für </w:t>
      </w:r>
      <w:r w:rsidR="00646017" w:rsidRPr="00184227">
        <w:rPr>
          <w:rFonts w:cs="Arial"/>
          <w:color w:val="auto"/>
        </w:rPr>
        <w:t xml:space="preserve">Scope-1- </w:t>
      </w:r>
      <w:r w:rsidRPr="00184227">
        <w:rPr>
          <w:rFonts w:cs="Arial"/>
          <w:color w:val="auto"/>
        </w:rPr>
        <w:t xml:space="preserve">und </w:t>
      </w:r>
      <w:r w:rsidR="00646017" w:rsidRPr="00184227">
        <w:rPr>
          <w:rFonts w:cs="Arial"/>
          <w:color w:val="auto"/>
        </w:rPr>
        <w:t>2-</w:t>
      </w:r>
      <w:r w:rsidRPr="00184227">
        <w:rPr>
          <w:rFonts w:cs="Arial"/>
          <w:color w:val="auto"/>
        </w:rPr>
        <w:t>Emissionen ermittelt</w:t>
      </w:r>
      <w:r w:rsidR="00FC2703">
        <w:rPr>
          <w:rFonts w:cs="Arial"/>
          <w:color w:val="auto"/>
        </w:rPr>
        <w:t>, KDE nimmt jedoch den Aspekt Pendeln und Transporte (Mix aus Scope 1 und 3) hinzu</w:t>
      </w:r>
      <w:r w:rsidR="00184227" w:rsidRPr="00184227">
        <w:rPr>
          <w:rFonts w:cs="Arial"/>
          <w:color w:val="auto"/>
        </w:rPr>
        <w:t xml:space="preserve">. </w:t>
      </w:r>
      <w:r w:rsidR="001A6507">
        <w:rPr>
          <w:rFonts w:cs="Arial"/>
          <w:color w:val="auto"/>
        </w:rPr>
        <w:t>Aktuell ha</w:t>
      </w:r>
      <w:r w:rsidR="00C759DF">
        <w:rPr>
          <w:rFonts w:cs="Arial"/>
          <w:color w:val="auto"/>
        </w:rPr>
        <w:t xml:space="preserve">t sich KDE </w:t>
      </w:r>
      <w:r w:rsidR="001A6507">
        <w:rPr>
          <w:rFonts w:cs="Arial"/>
          <w:color w:val="auto"/>
        </w:rPr>
        <w:t>entschlossen, die absoluten Emissionen der besonders relevanten Emissionsquellen</w:t>
      </w:r>
      <w:r w:rsidR="00DA3655">
        <w:rPr>
          <w:rFonts w:cs="Arial"/>
          <w:color w:val="auto"/>
        </w:rPr>
        <w:t xml:space="preserve"> sowie einige r</w:t>
      </w:r>
      <w:r w:rsidR="00DA3655" w:rsidRPr="00DA3655">
        <w:rPr>
          <w:rFonts w:cs="Arial"/>
          <w:color w:val="auto"/>
        </w:rPr>
        <w:t>elative Kenngrößen</w:t>
      </w:r>
      <w:r w:rsidR="001A6507">
        <w:rPr>
          <w:rFonts w:cs="Arial"/>
          <w:color w:val="auto"/>
        </w:rPr>
        <w:t xml:space="preserve"> als Leistungsindikatoren zu definieren. </w:t>
      </w:r>
      <w:r w:rsidR="00296F1F">
        <w:rPr>
          <w:rFonts w:cs="Arial"/>
          <w:color w:val="auto"/>
        </w:rPr>
        <w:t xml:space="preserve">KDE wird </w:t>
      </w:r>
      <w:r w:rsidR="000F0E8A">
        <w:rPr>
          <w:rFonts w:cs="Arial"/>
          <w:color w:val="auto"/>
        </w:rPr>
        <w:t xml:space="preserve">laufend </w:t>
      </w:r>
      <w:r w:rsidR="00296F1F">
        <w:rPr>
          <w:rFonts w:cs="Arial"/>
          <w:color w:val="auto"/>
        </w:rPr>
        <w:t xml:space="preserve">die Aussagekraft der gewählten Leistungsindikatoren überprüfen und gegebenenfalls die Auswahl anpassen. </w:t>
      </w:r>
    </w:p>
    <w:p w14:paraId="5856BD45" w14:textId="77777777" w:rsidR="00F71E9C" w:rsidRDefault="00F71E9C" w:rsidP="009215B1">
      <w:pPr>
        <w:spacing w:line="280" w:lineRule="atLeast"/>
        <w:rPr>
          <w:rFonts w:cs="Arial"/>
          <w:color w:val="auto"/>
        </w:rPr>
      </w:pPr>
    </w:p>
    <w:p w14:paraId="4BD57399" w14:textId="36A8B719" w:rsidR="000F0E8A" w:rsidRDefault="000F0E8A" w:rsidP="009215B1">
      <w:pPr>
        <w:spacing w:line="280" w:lineRule="atLeast"/>
        <w:rPr>
          <w:rFonts w:cs="Arial"/>
          <w:color w:val="auto"/>
        </w:rPr>
      </w:pPr>
      <w:r>
        <w:rPr>
          <w:rFonts w:cs="Arial"/>
          <w:color w:val="auto"/>
        </w:rPr>
        <w:t>Für 2022 wurden folgende Korrekturen vorgenommen: Beim Transportgewicht wird anstelle des Bruttogewichts das Volumengewicht eingesetzt, da dieses aussagekräftiger für den KFZ-Typ ist. Die Anzahl der Sendungen wird künftig differenziert zwischen Direkt und Overnight, Luftfracht wird aufgrund der geringen Bedeutung für das KDE-Geschäft vernachlässigt. Die CO</w:t>
      </w:r>
      <w:r w:rsidRPr="00F822C3">
        <w:rPr>
          <w:rFonts w:cs="Arial"/>
          <w:color w:val="auto"/>
          <w:vertAlign w:val="subscript"/>
        </w:rPr>
        <w:t>2</w:t>
      </w:r>
      <w:r w:rsidR="004F1A1C">
        <w:rPr>
          <w:rFonts w:cs="Arial"/>
          <w:color w:val="auto"/>
        </w:rPr>
        <w:t>e</w:t>
      </w:r>
      <w:r>
        <w:rPr>
          <w:rFonts w:cs="Arial"/>
          <w:color w:val="auto"/>
        </w:rPr>
        <w:t>-Emission</w:t>
      </w:r>
      <w:r w:rsidR="00F822C3">
        <w:rPr>
          <w:rFonts w:cs="Arial"/>
          <w:color w:val="auto"/>
        </w:rPr>
        <w:t>en</w:t>
      </w:r>
      <w:r>
        <w:rPr>
          <w:rFonts w:cs="Arial"/>
          <w:color w:val="auto"/>
        </w:rPr>
        <w:t xml:space="preserve"> für Hybrid-Fahrzeuge </w:t>
      </w:r>
      <w:r w:rsidR="004F1A1C">
        <w:rPr>
          <w:rFonts w:cs="Arial"/>
          <w:color w:val="auto"/>
        </w:rPr>
        <w:t xml:space="preserve">werden </w:t>
      </w:r>
      <w:r>
        <w:rPr>
          <w:rFonts w:cs="Arial"/>
          <w:color w:val="auto"/>
        </w:rPr>
        <w:t>komplett dem Büro zugeordnet, da 2022 fast alle Dienstwagen auf Hybrid umgestellt wurden und entsprechend der Anteil hier groß ist.</w:t>
      </w:r>
    </w:p>
    <w:p w14:paraId="554405D5" w14:textId="508E38E1" w:rsidR="00631F76" w:rsidRDefault="00631F76" w:rsidP="009215B1">
      <w:pPr>
        <w:spacing w:line="280" w:lineRule="atLeast"/>
        <w:rPr>
          <w:rFonts w:cs="Arial"/>
          <w:color w:val="auto"/>
        </w:rPr>
      </w:pPr>
    </w:p>
    <w:p w14:paraId="0ABB7B0A" w14:textId="3C38278F" w:rsidR="00495A7C" w:rsidRDefault="000F0E8A" w:rsidP="009215B1">
      <w:pPr>
        <w:spacing w:line="280" w:lineRule="atLeast"/>
        <w:rPr>
          <w:rFonts w:cs="Arial"/>
          <w:color w:val="auto"/>
        </w:rPr>
      </w:pPr>
      <w:r>
        <w:rPr>
          <w:rFonts w:cs="Arial"/>
          <w:color w:val="auto"/>
        </w:rPr>
        <w:t xml:space="preserve">Insgesamt gibt es für </w:t>
      </w:r>
      <w:r w:rsidR="0092772E">
        <w:rPr>
          <w:rFonts w:cs="Arial"/>
          <w:color w:val="auto"/>
        </w:rPr>
        <w:t xml:space="preserve">die meisten </w:t>
      </w:r>
      <w:r>
        <w:rPr>
          <w:rFonts w:cs="Arial"/>
          <w:color w:val="auto"/>
        </w:rPr>
        <w:t xml:space="preserve">Leistungsindikatoren eine positive Entwicklung. </w:t>
      </w:r>
      <w:r w:rsidR="0092772E">
        <w:rPr>
          <w:rFonts w:cs="Arial"/>
          <w:color w:val="auto"/>
        </w:rPr>
        <w:t>Nur in Bezug auf die Anzahl der Overnight-Sendungen ist ein Anstieg der CO</w:t>
      </w:r>
      <w:r w:rsidR="0092772E" w:rsidRPr="00F822C3">
        <w:rPr>
          <w:rFonts w:cs="Arial"/>
          <w:color w:val="auto"/>
          <w:vertAlign w:val="subscript"/>
        </w:rPr>
        <w:t>2</w:t>
      </w:r>
      <w:r w:rsidR="004F1A1C">
        <w:rPr>
          <w:rFonts w:cs="Arial"/>
          <w:color w:val="auto"/>
        </w:rPr>
        <w:t>e</w:t>
      </w:r>
      <w:r w:rsidR="0092772E">
        <w:rPr>
          <w:rFonts w:cs="Arial"/>
          <w:color w:val="auto"/>
        </w:rPr>
        <w:t>-Emissionen zu verzeichnen, im Vergleich zu 2021 ist eine deutliche Reduktion zu sehen.</w:t>
      </w:r>
      <w:r w:rsidR="00A177A5">
        <w:rPr>
          <w:rFonts w:cs="Arial"/>
          <w:color w:val="auto"/>
        </w:rPr>
        <w:t xml:space="preserve"> Allerdings muss berücksichtigt werden, dass die neuen Parameter auf Basis des GLEC-Standards die Werte beeinfluss haben.</w:t>
      </w:r>
    </w:p>
    <w:p w14:paraId="7AB85E00" w14:textId="77777777" w:rsidR="0092772E" w:rsidRDefault="0092772E" w:rsidP="009215B1">
      <w:pPr>
        <w:spacing w:line="280" w:lineRule="atLeast"/>
        <w:rPr>
          <w:rFonts w:cs="Arial"/>
          <w:color w:val="auto"/>
        </w:rPr>
      </w:pPr>
    </w:p>
    <w:p w14:paraId="383702BA" w14:textId="24F1F197" w:rsidR="0092772E" w:rsidRDefault="0092772E" w:rsidP="009215B1">
      <w:pPr>
        <w:spacing w:line="280" w:lineRule="atLeast"/>
        <w:rPr>
          <w:rFonts w:cs="Arial"/>
          <w:color w:val="auto"/>
        </w:rPr>
      </w:pPr>
      <w:r>
        <w:rPr>
          <w:rFonts w:cs="Arial"/>
          <w:color w:val="auto"/>
        </w:rPr>
        <w:t>Besonders erfreulich sind die Einsparungen im Bereich Erdgas. Hier konnte der Verbrauch um 25 bzw. 33% im Vergleich zu 2021 gesenkt werden, womit hier die Ziele für 2025 bereits vorzeitig erreicht wurden.</w:t>
      </w:r>
    </w:p>
    <w:p w14:paraId="170066DA" w14:textId="77777777" w:rsidR="0092772E" w:rsidRDefault="0092772E" w:rsidP="009215B1">
      <w:pPr>
        <w:spacing w:line="280" w:lineRule="atLeast"/>
        <w:rPr>
          <w:rFonts w:cs="Arial"/>
          <w:color w:val="auto"/>
        </w:rPr>
      </w:pPr>
    </w:p>
    <w:p w14:paraId="325BC5E2" w14:textId="2CC4D165" w:rsidR="0092772E" w:rsidRDefault="0092772E" w:rsidP="009215B1">
      <w:pPr>
        <w:spacing w:line="280" w:lineRule="atLeast"/>
        <w:rPr>
          <w:rFonts w:cs="Arial"/>
          <w:color w:val="auto"/>
        </w:rPr>
      </w:pPr>
      <w:r>
        <w:rPr>
          <w:rFonts w:cs="Arial"/>
          <w:color w:val="auto"/>
        </w:rPr>
        <w:t xml:space="preserve">Auch die sukzessive Umstellung der Dienstwagen auf Hybrid-Fahrzeuge macht sich positiv bemerkbar. </w:t>
      </w:r>
      <w:r w:rsidR="00A177A5">
        <w:rPr>
          <w:rFonts w:cs="Arial"/>
          <w:color w:val="auto"/>
        </w:rPr>
        <w:t xml:space="preserve">Dadurch konnte auch das Ziel bei der Kategorie Pendeln MA bereits erreicht werden. </w:t>
      </w:r>
      <w:r>
        <w:rPr>
          <w:rFonts w:cs="Arial"/>
          <w:color w:val="auto"/>
        </w:rPr>
        <w:t>Damit einhergeht ein steigender Stromverbrauch, der im Oktober 2023 durch die Installation einer Photovoltaikanlage begegnet wird.</w:t>
      </w:r>
      <w:r w:rsidR="00A177A5">
        <w:rPr>
          <w:rFonts w:cs="Arial"/>
          <w:color w:val="auto"/>
        </w:rPr>
        <w:t xml:space="preserve"> </w:t>
      </w:r>
    </w:p>
    <w:p w14:paraId="325D8AE2" w14:textId="77777777" w:rsidR="0092772E" w:rsidRDefault="0092772E" w:rsidP="009215B1">
      <w:pPr>
        <w:spacing w:line="280" w:lineRule="atLeast"/>
        <w:rPr>
          <w:rFonts w:cs="Arial"/>
          <w:color w:val="auto"/>
        </w:rPr>
      </w:pPr>
    </w:p>
    <w:p w14:paraId="5C178A20" w14:textId="0A101FDE" w:rsidR="00A738EC" w:rsidRDefault="0092772E" w:rsidP="009215B1">
      <w:pPr>
        <w:spacing w:line="280" w:lineRule="atLeast"/>
        <w:rPr>
          <w:rFonts w:cs="Arial"/>
          <w:color w:val="auto"/>
        </w:rPr>
      </w:pPr>
      <w:r>
        <w:rPr>
          <w:rFonts w:cs="Arial"/>
          <w:color w:val="auto"/>
        </w:rPr>
        <w:t>Im Bereich Papierverbrauch ist die Entwicklung nicht zufriedenstellen</w:t>
      </w:r>
      <w:r w:rsidR="00A177A5">
        <w:rPr>
          <w:rFonts w:cs="Arial"/>
          <w:color w:val="auto"/>
        </w:rPr>
        <w:t>d</w:t>
      </w:r>
      <w:r>
        <w:rPr>
          <w:rFonts w:cs="Arial"/>
          <w:color w:val="auto"/>
        </w:rPr>
        <w:t>. Hier müssen 2023 die Teammitglieder stärker sensibilisiert werden. Problematisch war allerdings auch die schlechte Verfügbarkeit von Papier insgesam</w:t>
      </w:r>
      <w:r w:rsidR="00A177A5">
        <w:rPr>
          <w:rFonts w:cs="Arial"/>
          <w:color w:val="auto"/>
        </w:rPr>
        <w:t>t am Markt</w:t>
      </w:r>
      <w:r>
        <w:rPr>
          <w:rFonts w:cs="Arial"/>
          <w:color w:val="auto"/>
        </w:rPr>
        <w:t xml:space="preserve">. KDE musste teilweise wieder auf Frischpapier </w:t>
      </w:r>
      <w:r w:rsidR="00A177A5">
        <w:rPr>
          <w:rFonts w:cs="Arial"/>
          <w:color w:val="auto"/>
        </w:rPr>
        <w:t>zurückgreifen</w:t>
      </w:r>
      <w:r>
        <w:rPr>
          <w:rFonts w:cs="Arial"/>
          <w:color w:val="auto"/>
        </w:rPr>
        <w:t xml:space="preserve">. </w:t>
      </w:r>
    </w:p>
    <w:p w14:paraId="27A34CF5" w14:textId="77777777" w:rsidR="00A738EC" w:rsidRDefault="00A738EC">
      <w:pPr>
        <w:jc w:val="left"/>
        <w:rPr>
          <w:rFonts w:cs="Arial"/>
          <w:color w:val="auto"/>
        </w:rPr>
      </w:pPr>
      <w:r>
        <w:rPr>
          <w:rFonts w:cs="Arial"/>
          <w:color w:val="auto"/>
        </w:rPr>
        <w:br w:type="page"/>
      </w:r>
    </w:p>
    <w:p w14:paraId="526BBBCA" w14:textId="7B982D87" w:rsidR="00A738EC" w:rsidRDefault="00A738EC">
      <w:pPr>
        <w:jc w:val="left"/>
        <w:rPr>
          <w:rFonts w:cs="Arial"/>
          <w:color w:val="auto"/>
        </w:rPr>
      </w:pPr>
      <w:r>
        <w:rPr>
          <w:noProof/>
        </w:rPr>
        <w:drawing>
          <wp:anchor distT="0" distB="0" distL="114300" distR="114300" simplePos="0" relativeHeight="251665408" behindDoc="0" locked="0" layoutInCell="1" allowOverlap="1" wp14:anchorId="71388C61" wp14:editId="18D278E8">
            <wp:simplePos x="0" y="0"/>
            <wp:positionH relativeFrom="column">
              <wp:posOffset>-1976906</wp:posOffset>
            </wp:positionH>
            <wp:positionV relativeFrom="paragraph">
              <wp:posOffset>1992146</wp:posOffset>
            </wp:positionV>
            <wp:extent cx="8936340" cy="4973002"/>
            <wp:effectExtent l="317" t="0" r="0" b="0"/>
            <wp:wrapNone/>
            <wp:docPr id="1671918877" name="Grafik 167191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956226" cy="4984069"/>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auto"/>
        </w:rPr>
        <w:br w:type="page"/>
      </w:r>
    </w:p>
    <w:p w14:paraId="169B9766" w14:textId="77777777" w:rsidR="0092772E" w:rsidRDefault="0092772E" w:rsidP="009215B1">
      <w:pPr>
        <w:spacing w:line="280" w:lineRule="atLeast"/>
        <w:rPr>
          <w:rFonts w:cs="Arial"/>
          <w:color w:val="auto"/>
        </w:rPr>
      </w:pPr>
    </w:p>
    <w:p w14:paraId="70963E0D" w14:textId="77777777" w:rsidR="00A177A5" w:rsidRDefault="00A177A5" w:rsidP="009215B1">
      <w:pPr>
        <w:spacing w:line="280" w:lineRule="atLeast"/>
        <w:rPr>
          <w:rFonts w:cs="Arial"/>
          <w:color w:val="auto"/>
        </w:rPr>
      </w:pPr>
    </w:p>
    <w:p w14:paraId="6945F451" w14:textId="19CDF91A" w:rsidR="00F3649A" w:rsidRDefault="00A177A5" w:rsidP="00D65578">
      <w:pPr>
        <w:spacing w:line="280" w:lineRule="atLeast"/>
        <w:rPr>
          <w:rFonts w:cs="Arial"/>
          <w:color w:val="auto"/>
        </w:rPr>
      </w:pPr>
      <w:r>
        <w:rPr>
          <w:rFonts w:cs="Arial"/>
          <w:color w:val="auto"/>
        </w:rPr>
        <w:t>Der Anstieg bei Abfall ist als normale Varianz zu werten. Mit der Einsparung von Papier wird hier sicherlich noch etwas möglich sein. Noch offen ist die Vermeidung von Restmüll und Plastik bei KDE. Dies muss als neues Projekt angegangen werden.</w:t>
      </w:r>
    </w:p>
    <w:p w14:paraId="4ED05A66" w14:textId="77777777" w:rsidR="00F3649A" w:rsidRDefault="00F3649A" w:rsidP="00F3649A">
      <w:pPr>
        <w:jc w:val="left"/>
        <w:rPr>
          <w:rFonts w:cs="Arial"/>
          <w:color w:val="auto"/>
        </w:rPr>
      </w:pPr>
    </w:p>
    <w:p w14:paraId="236D9776" w14:textId="302D9A07" w:rsidR="00720300" w:rsidRPr="00044967" w:rsidRDefault="007A6357" w:rsidP="002422AE">
      <w:pPr>
        <w:pStyle w:val="berschrift1"/>
      </w:pPr>
      <w:bookmarkStart w:id="212" w:name="_Toc104967264"/>
      <w:bookmarkStart w:id="213" w:name="_Toc134718500"/>
      <w:bookmarkStart w:id="214" w:name="_Toc134718642"/>
      <w:bookmarkStart w:id="215" w:name="_Toc134718832"/>
      <w:bookmarkStart w:id="216" w:name="_Toc134727132"/>
      <w:bookmarkStart w:id="217" w:name="_Toc134727273"/>
      <w:bookmarkStart w:id="218" w:name="_Toc134727723"/>
      <w:bookmarkStart w:id="219" w:name="_Toc134727867"/>
      <w:bookmarkStart w:id="220" w:name="_Toc134728268"/>
      <w:bookmarkStart w:id="221" w:name="_Toc104967265"/>
      <w:bookmarkStart w:id="222" w:name="_Toc134718501"/>
      <w:bookmarkStart w:id="223" w:name="_Toc134718643"/>
      <w:bookmarkStart w:id="224" w:name="_Toc134718833"/>
      <w:bookmarkStart w:id="225" w:name="_Toc134727133"/>
      <w:bookmarkStart w:id="226" w:name="_Toc134727274"/>
      <w:bookmarkStart w:id="227" w:name="_Toc134727724"/>
      <w:bookmarkStart w:id="228" w:name="_Toc134727868"/>
      <w:bookmarkStart w:id="229" w:name="_Toc134728269"/>
      <w:bookmarkStart w:id="230" w:name="_Toc104967266"/>
      <w:bookmarkStart w:id="231" w:name="_Toc134718502"/>
      <w:bookmarkStart w:id="232" w:name="_Toc134718644"/>
      <w:bookmarkStart w:id="233" w:name="_Toc134718834"/>
      <w:bookmarkStart w:id="234" w:name="_Toc134727134"/>
      <w:bookmarkStart w:id="235" w:name="_Toc134727275"/>
      <w:bookmarkStart w:id="236" w:name="_Toc134727725"/>
      <w:bookmarkStart w:id="237" w:name="_Toc134727869"/>
      <w:bookmarkStart w:id="238" w:name="_Toc134728270"/>
      <w:bookmarkStart w:id="239" w:name="_Toc104967316"/>
      <w:bookmarkStart w:id="240" w:name="_Toc134718552"/>
      <w:bookmarkStart w:id="241" w:name="_Toc134718694"/>
      <w:bookmarkStart w:id="242" w:name="_Toc134718884"/>
      <w:bookmarkStart w:id="243" w:name="_Toc134727184"/>
      <w:bookmarkStart w:id="244" w:name="_Toc134727325"/>
      <w:bookmarkStart w:id="245" w:name="_Toc134727775"/>
      <w:bookmarkStart w:id="246" w:name="_Toc134727919"/>
      <w:bookmarkStart w:id="247" w:name="_Toc134728320"/>
      <w:bookmarkStart w:id="248" w:name="_Toc104967317"/>
      <w:bookmarkStart w:id="249" w:name="_Toc134718553"/>
      <w:bookmarkStart w:id="250" w:name="_Toc134718695"/>
      <w:bookmarkStart w:id="251" w:name="_Toc134718885"/>
      <w:bookmarkStart w:id="252" w:name="_Toc134727185"/>
      <w:bookmarkStart w:id="253" w:name="_Toc134727326"/>
      <w:bookmarkStart w:id="254" w:name="_Toc134727776"/>
      <w:bookmarkStart w:id="255" w:name="_Toc134727920"/>
      <w:bookmarkStart w:id="256" w:name="_Toc134728321"/>
      <w:bookmarkStart w:id="257" w:name="_Toc104967360"/>
      <w:bookmarkStart w:id="258" w:name="_Toc134728364"/>
      <w:bookmarkStart w:id="259" w:name="_Toc13581111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 xml:space="preserve">Fachliche </w:t>
      </w:r>
      <w:r w:rsidR="004E085D">
        <w:t>Begleitung</w:t>
      </w:r>
      <w:bookmarkEnd w:id="259"/>
      <w:r w:rsidR="004E085D" w:rsidRPr="00044967">
        <w:t xml:space="preserve"> </w:t>
      </w:r>
    </w:p>
    <w:p w14:paraId="3D4D6F6C" w14:textId="607EDF4B" w:rsidR="00DB0267" w:rsidRDefault="00DB0267" w:rsidP="004E085D">
      <w:pPr>
        <w:spacing w:line="280" w:lineRule="atLeast"/>
        <w:rPr>
          <w:rStyle w:val="Hyperlink"/>
          <w:rFonts w:ascii="Arial" w:hAnsi="Arial" w:cs="Arial"/>
          <w:color w:val="auto"/>
          <w:sz w:val="22"/>
        </w:rPr>
      </w:pPr>
      <w:r w:rsidRPr="00DB0267">
        <w:rPr>
          <w:rFonts w:cs="Arial"/>
          <w:color w:val="auto"/>
        </w:rPr>
        <w:t>Die Klimabilanz wurde in Zusammenarbeit mit Dana Vogel</w:t>
      </w:r>
      <w:r>
        <w:rPr>
          <w:rFonts w:cs="Arial"/>
          <w:color w:val="auto"/>
        </w:rPr>
        <w:t xml:space="preserve"> </w:t>
      </w:r>
      <w:r w:rsidRPr="00DB0267">
        <w:rPr>
          <w:rFonts w:cs="Arial"/>
          <w:color w:val="auto"/>
        </w:rPr>
        <w:t>Sustainability Consulting</w:t>
      </w:r>
      <w:r>
        <w:rPr>
          <w:rFonts w:cs="Arial"/>
          <w:color w:val="auto"/>
        </w:rPr>
        <w:t xml:space="preserve"> erstellt.</w:t>
      </w:r>
      <w:r w:rsidR="004E085D">
        <w:rPr>
          <w:rFonts w:cs="Arial"/>
          <w:color w:val="auto"/>
        </w:rPr>
        <w:t xml:space="preserve"> Webseite: </w:t>
      </w:r>
      <w:hyperlink r:id="rId20" w:history="1">
        <w:r w:rsidRPr="00DB0267">
          <w:rPr>
            <w:rStyle w:val="Hyperlink"/>
            <w:rFonts w:ascii="Arial" w:hAnsi="Arial" w:cs="Arial"/>
            <w:color w:val="auto"/>
            <w:sz w:val="22"/>
          </w:rPr>
          <w:t>www.danavogel.com</w:t>
        </w:r>
      </w:hyperlink>
    </w:p>
    <w:p w14:paraId="7858242F" w14:textId="27A3DB86" w:rsidR="004E085D" w:rsidRDefault="004E085D" w:rsidP="004E085D">
      <w:pPr>
        <w:spacing w:line="280" w:lineRule="atLeast"/>
        <w:rPr>
          <w:rFonts w:cs="Arial"/>
          <w:color w:val="auto"/>
        </w:rPr>
      </w:pPr>
      <w:r>
        <w:rPr>
          <w:rFonts w:cs="Arial"/>
          <w:color w:val="auto"/>
        </w:rPr>
        <w:t>LinkedIn:</w:t>
      </w:r>
      <w:r w:rsidRPr="00F822C3">
        <w:rPr>
          <w:rFonts w:cs="Arial"/>
          <w:color w:val="000000" w:themeColor="text1"/>
        </w:rPr>
        <w:t xml:space="preserve"> </w:t>
      </w:r>
      <w:hyperlink r:id="rId21" w:history="1">
        <w:r w:rsidR="00C759DF" w:rsidRPr="00F822C3">
          <w:rPr>
            <w:rStyle w:val="Hyperlink"/>
            <w:rFonts w:ascii="Arial" w:hAnsi="Arial" w:cs="Arial"/>
            <w:color w:val="000000" w:themeColor="text1"/>
            <w:sz w:val="22"/>
          </w:rPr>
          <w:t>https://www.linkedin.com/in/danavogel</w:t>
        </w:r>
      </w:hyperlink>
    </w:p>
    <w:p w14:paraId="55F29C3F" w14:textId="77777777" w:rsidR="007A6357" w:rsidRPr="00DB0267" w:rsidRDefault="007A6357" w:rsidP="004E085D">
      <w:pPr>
        <w:spacing w:line="280" w:lineRule="atLeast"/>
        <w:rPr>
          <w:rFonts w:cs="Arial"/>
          <w:color w:val="auto"/>
        </w:rPr>
      </w:pPr>
    </w:p>
    <w:p w14:paraId="0F70EE84" w14:textId="58F1A19D" w:rsidR="00044967" w:rsidRPr="00044967" w:rsidRDefault="00044967" w:rsidP="002422AE">
      <w:pPr>
        <w:pStyle w:val="berschrift1"/>
      </w:pPr>
      <w:bookmarkStart w:id="260" w:name="_Toc73110776"/>
      <w:bookmarkStart w:id="261" w:name="_Toc135811116"/>
      <w:r w:rsidRPr="00044967">
        <w:t>Emissionsmi</w:t>
      </w:r>
      <w:r>
        <w:t>n</w:t>
      </w:r>
      <w:r w:rsidRPr="00044967">
        <w:t>derungsmaßnahmen</w:t>
      </w:r>
      <w:bookmarkEnd w:id="260"/>
      <w:bookmarkEnd w:id="261"/>
    </w:p>
    <w:p w14:paraId="52F24147" w14:textId="24542417" w:rsidR="00720300" w:rsidRPr="00044967" w:rsidRDefault="00720300" w:rsidP="0049297C">
      <w:pPr>
        <w:pStyle w:val="berschrift2"/>
        <w:spacing w:after="160" w:line="280" w:lineRule="atLeast"/>
        <w:ind w:left="578" w:hanging="578"/>
        <w:rPr>
          <w:sz w:val="22"/>
          <w:szCs w:val="22"/>
        </w:rPr>
      </w:pPr>
      <w:bookmarkStart w:id="262" w:name="_Toc73110777"/>
      <w:bookmarkStart w:id="263" w:name="_Toc135811117"/>
      <w:r w:rsidRPr="00044967">
        <w:rPr>
          <w:sz w:val="22"/>
          <w:szCs w:val="22"/>
        </w:rPr>
        <w:t>Reduktionsmaßnahmen</w:t>
      </w:r>
      <w:bookmarkEnd w:id="262"/>
      <w:bookmarkEnd w:id="263"/>
    </w:p>
    <w:p w14:paraId="32BF2ECA" w14:textId="3E4CA70C" w:rsidR="00720300" w:rsidRPr="00184227" w:rsidRDefault="00720300" w:rsidP="009215B1">
      <w:pPr>
        <w:spacing w:line="280" w:lineRule="atLeast"/>
        <w:rPr>
          <w:rFonts w:cs="Arial"/>
          <w:color w:val="auto"/>
        </w:rPr>
      </w:pPr>
      <w:r w:rsidRPr="00184227">
        <w:rPr>
          <w:rFonts w:cs="Arial"/>
          <w:color w:val="auto"/>
        </w:rPr>
        <w:t>Beschreibung von Maßnahmen</w:t>
      </w:r>
      <w:r w:rsidR="00646017" w:rsidRPr="00184227">
        <w:rPr>
          <w:rFonts w:cs="Arial"/>
          <w:color w:val="auto"/>
        </w:rPr>
        <w:t xml:space="preserve">, </w:t>
      </w:r>
      <w:r w:rsidRPr="00184227">
        <w:rPr>
          <w:rFonts w:cs="Arial"/>
          <w:color w:val="auto"/>
        </w:rPr>
        <w:t>die unternommen werden</w:t>
      </w:r>
      <w:r w:rsidR="00646017" w:rsidRPr="00184227">
        <w:rPr>
          <w:rFonts w:cs="Arial"/>
          <w:color w:val="auto"/>
        </w:rPr>
        <w:t>,</w:t>
      </w:r>
      <w:r w:rsidRPr="00184227">
        <w:rPr>
          <w:rFonts w:cs="Arial"/>
          <w:color w:val="auto"/>
        </w:rPr>
        <w:t xml:space="preserve"> um CO</w:t>
      </w:r>
      <w:r w:rsidRPr="00184227">
        <w:rPr>
          <w:rFonts w:cs="Arial"/>
          <w:color w:val="auto"/>
          <w:vertAlign w:val="subscript"/>
        </w:rPr>
        <w:t>2</w:t>
      </w:r>
      <w:r w:rsidR="00754FCE" w:rsidRPr="00F822C3">
        <w:rPr>
          <w:rFonts w:cs="Arial"/>
          <w:color w:val="auto"/>
        </w:rPr>
        <w:t>e</w:t>
      </w:r>
      <w:r w:rsidR="00CA41CD" w:rsidRPr="00184227">
        <w:rPr>
          <w:rFonts w:cs="Arial"/>
          <w:color w:val="auto"/>
        </w:rPr>
        <w:t xml:space="preserve">-Emissionen zu reduzieren (inkl. </w:t>
      </w:r>
      <w:r w:rsidR="00646017" w:rsidRPr="00184227">
        <w:rPr>
          <w:rFonts w:cs="Arial"/>
          <w:color w:val="auto"/>
        </w:rPr>
        <w:t xml:space="preserve">der </w:t>
      </w:r>
      <w:r w:rsidR="00CA41CD" w:rsidRPr="00184227">
        <w:rPr>
          <w:rFonts w:cs="Arial"/>
          <w:color w:val="auto"/>
        </w:rPr>
        <w:t>Nutzung von Grünstrom).</w:t>
      </w:r>
    </w:p>
    <w:p w14:paraId="2FCF4DA8" w14:textId="7E492FF6" w:rsidR="004D7A48" w:rsidRPr="0071541C" w:rsidRDefault="004D7A48" w:rsidP="00D65578">
      <w:pPr>
        <w:pStyle w:val="berschrift3"/>
        <w:rPr>
          <w:bCs/>
        </w:rPr>
      </w:pPr>
      <w:bookmarkStart w:id="264" w:name="_Toc104384348"/>
      <w:bookmarkStart w:id="265" w:name="_Toc104967364"/>
      <w:bookmarkStart w:id="266" w:name="_Toc134718601"/>
      <w:bookmarkStart w:id="267" w:name="_Toc134718743"/>
      <w:bookmarkStart w:id="268" w:name="_Toc134718932"/>
      <w:bookmarkStart w:id="269" w:name="_Toc134727232"/>
      <w:bookmarkStart w:id="270" w:name="_Toc134727373"/>
      <w:bookmarkStart w:id="271" w:name="_Toc134727823"/>
      <w:bookmarkStart w:id="272" w:name="_Toc134727967"/>
      <w:bookmarkStart w:id="273" w:name="_Toc134728368"/>
      <w:bookmarkStart w:id="274" w:name="_Toc135811118"/>
      <w:bookmarkEnd w:id="264"/>
      <w:bookmarkEnd w:id="265"/>
      <w:bookmarkEnd w:id="266"/>
      <w:bookmarkEnd w:id="267"/>
      <w:bookmarkEnd w:id="268"/>
      <w:bookmarkEnd w:id="269"/>
      <w:bookmarkEnd w:id="270"/>
      <w:bookmarkEnd w:id="271"/>
      <w:bookmarkEnd w:id="272"/>
      <w:bookmarkEnd w:id="273"/>
      <w:r w:rsidRPr="0071541C">
        <w:rPr>
          <w:bCs/>
        </w:rPr>
        <w:t xml:space="preserve">Rückblick auf </w:t>
      </w:r>
      <w:r w:rsidR="00184227" w:rsidRPr="0071541C">
        <w:rPr>
          <w:bCs/>
        </w:rPr>
        <w:t>2021</w:t>
      </w:r>
      <w:bookmarkEnd w:id="274"/>
      <w:r w:rsidR="00184227" w:rsidRPr="0071541C">
        <w:rPr>
          <w:bCs/>
        </w:rPr>
        <w:t xml:space="preserve"> </w:t>
      </w:r>
    </w:p>
    <w:p w14:paraId="06C0D546" w14:textId="58C1E9E6" w:rsidR="00184227" w:rsidRDefault="004D7A48" w:rsidP="009215B1">
      <w:pPr>
        <w:spacing w:line="280" w:lineRule="atLeast"/>
        <w:rPr>
          <w:rFonts w:cs="Arial"/>
          <w:color w:val="auto"/>
        </w:rPr>
      </w:pPr>
      <w:r>
        <w:rPr>
          <w:rFonts w:cs="Arial"/>
          <w:color w:val="auto"/>
        </w:rPr>
        <w:t xml:space="preserve">Im Jahr 2021 </w:t>
      </w:r>
      <w:r w:rsidR="003C402A">
        <w:rPr>
          <w:rFonts w:cs="Arial"/>
          <w:color w:val="auto"/>
        </w:rPr>
        <w:t>waren</w:t>
      </w:r>
      <w:r w:rsidR="00184227" w:rsidRPr="00184227">
        <w:rPr>
          <w:rFonts w:cs="Arial"/>
          <w:color w:val="auto"/>
        </w:rPr>
        <w:t xml:space="preserve"> folgende</w:t>
      </w:r>
      <w:r w:rsidR="00184227">
        <w:rPr>
          <w:rFonts w:cs="Arial"/>
          <w:color w:val="auto"/>
        </w:rPr>
        <w:t xml:space="preserve"> Maßnahmen geplant:</w:t>
      </w:r>
      <w:r w:rsidR="00184227" w:rsidRPr="00184227">
        <w:rPr>
          <w:rFonts w:cs="Arial"/>
          <w:color w:val="auto"/>
        </w:rPr>
        <w:t xml:space="preserve"> </w:t>
      </w:r>
    </w:p>
    <w:p w14:paraId="01FF3EC1" w14:textId="77777777" w:rsidR="000108DA" w:rsidRPr="00184227" w:rsidRDefault="000108DA" w:rsidP="009215B1">
      <w:pPr>
        <w:spacing w:line="280" w:lineRule="atLeast"/>
        <w:rPr>
          <w:rFonts w:cs="Arial"/>
          <w:color w:val="auto"/>
        </w:rPr>
      </w:pPr>
    </w:p>
    <w:p w14:paraId="767D60AF" w14:textId="77777777" w:rsidR="000108DA" w:rsidRPr="000108DA" w:rsidRDefault="00184227" w:rsidP="009215B1">
      <w:pPr>
        <w:pStyle w:val="Listenabsatz"/>
        <w:numPr>
          <w:ilvl w:val="0"/>
          <w:numId w:val="41"/>
        </w:numPr>
        <w:spacing w:after="120" w:line="280" w:lineRule="atLeast"/>
        <w:contextualSpacing w:val="0"/>
        <w:jc w:val="left"/>
        <w:rPr>
          <w:rFonts w:cs="Arial"/>
          <w:b/>
          <w:bCs/>
          <w:color w:val="auto"/>
        </w:rPr>
      </w:pPr>
      <w:r w:rsidRPr="000108DA">
        <w:rPr>
          <w:rFonts w:cs="Arial"/>
          <w:b/>
          <w:bCs/>
          <w:color w:val="auto"/>
        </w:rPr>
        <w:t>Bezug 100% Ökostrom</w:t>
      </w:r>
      <w:r w:rsidR="000108DA" w:rsidRPr="000108DA">
        <w:rPr>
          <w:rFonts w:cs="Arial"/>
          <w:b/>
          <w:bCs/>
          <w:color w:val="auto"/>
        </w:rPr>
        <w:t xml:space="preserve">: </w:t>
      </w:r>
    </w:p>
    <w:p w14:paraId="5F340E69" w14:textId="3817212B" w:rsidR="00184227" w:rsidRDefault="000108DA" w:rsidP="009215B1">
      <w:pPr>
        <w:pStyle w:val="Listenabsatz"/>
        <w:spacing w:after="120" w:line="280" w:lineRule="atLeast"/>
        <w:contextualSpacing w:val="0"/>
        <w:jc w:val="left"/>
        <w:rPr>
          <w:rFonts w:cs="Arial"/>
          <w:color w:val="auto"/>
        </w:rPr>
      </w:pPr>
      <w:r>
        <w:rPr>
          <w:rFonts w:cs="Arial"/>
          <w:color w:val="auto"/>
        </w:rPr>
        <w:t>Umstellung des Stromtarifs auf 100% zertifizierten Ökostrom</w:t>
      </w:r>
    </w:p>
    <w:p w14:paraId="6A604B28" w14:textId="03B4E966" w:rsidR="000108DA" w:rsidRDefault="000108DA" w:rsidP="009215B1">
      <w:pPr>
        <w:pStyle w:val="Listenabsatz"/>
        <w:spacing w:after="120" w:line="280" w:lineRule="atLeast"/>
        <w:contextualSpacing w:val="0"/>
        <w:jc w:val="left"/>
        <w:rPr>
          <w:rFonts w:cs="Arial"/>
          <w:color w:val="auto"/>
        </w:rPr>
      </w:pPr>
      <w:r>
        <w:rPr>
          <w:rFonts w:cs="Arial"/>
          <w:color w:val="auto"/>
        </w:rPr>
        <w:t>Ziel: Emissionsfreiheit bei Strom für die Büros an beiden Standorten</w:t>
      </w:r>
    </w:p>
    <w:p w14:paraId="4E6AAB6C" w14:textId="00DE37B5" w:rsidR="003C402A" w:rsidRPr="00D65578" w:rsidRDefault="003C402A" w:rsidP="00D65578">
      <w:pPr>
        <w:pStyle w:val="Listenabsatz"/>
        <w:spacing w:after="120" w:line="280" w:lineRule="atLeast"/>
        <w:ind w:firstLine="720"/>
        <w:contextualSpacing w:val="0"/>
        <w:jc w:val="left"/>
        <w:rPr>
          <w:rFonts w:cs="Arial"/>
          <w:i/>
          <w:color w:val="auto"/>
        </w:rPr>
      </w:pPr>
      <w:r w:rsidRPr="00D65578">
        <w:rPr>
          <w:rFonts w:cs="Arial"/>
          <w:i/>
          <w:color w:val="auto"/>
        </w:rPr>
        <w:t>Erfolgreich umgesetzt.</w:t>
      </w:r>
    </w:p>
    <w:p w14:paraId="46F01646" w14:textId="77777777" w:rsidR="000108DA" w:rsidRPr="003C14C5" w:rsidRDefault="00184227" w:rsidP="009215B1">
      <w:pPr>
        <w:pStyle w:val="Listenabsatz"/>
        <w:numPr>
          <w:ilvl w:val="0"/>
          <w:numId w:val="41"/>
        </w:numPr>
        <w:spacing w:after="120" w:line="280" w:lineRule="atLeast"/>
        <w:contextualSpacing w:val="0"/>
        <w:jc w:val="left"/>
        <w:rPr>
          <w:rFonts w:cs="Arial"/>
          <w:b/>
          <w:bCs/>
          <w:color w:val="auto"/>
        </w:rPr>
      </w:pPr>
      <w:r w:rsidRPr="003C14C5">
        <w:rPr>
          <w:rFonts w:cs="Arial"/>
          <w:b/>
          <w:bCs/>
          <w:color w:val="auto"/>
        </w:rPr>
        <w:t>Bezug 100% kompensiertes Erdgas</w:t>
      </w:r>
      <w:r w:rsidR="000108DA" w:rsidRPr="003C14C5">
        <w:rPr>
          <w:rFonts w:cs="Arial"/>
          <w:b/>
          <w:bCs/>
          <w:color w:val="auto"/>
        </w:rPr>
        <w:t xml:space="preserve">: </w:t>
      </w:r>
    </w:p>
    <w:p w14:paraId="0486004F" w14:textId="0185017E" w:rsidR="00184227"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 xml:space="preserve">Umstellung des Tarifs beim </w:t>
      </w:r>
      <w:r w:rsidR="00754FCE">
        <w:rPr>
          <w:rFonts w:cs="Arial"/>
          <w:color w:val="auto"/>
        </w:rPr>
        <w:t>Energielieferanten</w:t>
      </w:r>
    </w:p>
    <w:p w14:paraId="4407A316" w14:textId="20706EBE" w:rsidR="000108DA"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 xml:space="preserve">Ziel: Emissionsfreiheit bei der Heizung für die Büros an beiden Standorten. </w:t>
      </w:r>
    </w:p>
    <w:p w14:paraId="693D575D" w14:textId="77777777" w:rsidR="003C402A" w:rsidRPr="00D65578" w:rsidRDefault="003C402A" w:rsidP="00D65578">
      <w:pPr>
        <w:pStyle w:val="Listenabsatz"/>
        <w:spacing w:after="120" w:line="280" w:lineRule="atLeast"/>
        <w:ind w:firstLine="720"/>
        <w:contextualSpacing w:val="0"/>
        <w:jc w:val="left"/>
        <w:rPr>
          <w:rFonts w:cs="Arial"/>
          <w:i/>
          <w:color w:val="auto"/>
        </w:rPr>
      </w:pPr>
      <w:r w:rsidRPr="00D65578">
        <w:rPr>
          <w:rFonts w:cs="Arial"/>
          <w:i/>
          <w:color w:val="auto"/>
        </w:rPr>
        <w:t>Erfolgreich umgesetzt.</w:t>
      </w:r>
    </w:p>
    <w:p w14:paraId="51A6DB07" w14:textId="77777777" w:rsidR="000108DA" w:rsidRPr="003C14C5" w:rsidRDefault="00184227" w:rsidP="009215B1">
      <w:pPr>
        <w:pStyle w:val="Listenabsatz"/>
        <w:numPr>
          <w:ilvl w:val="0"/>
          <w:numId w:val="41"/>
        </w:numPr>
        <w:spacing w:after="120" w:line="280" w:lineRule="atLeast"/>
        <w:contextualSpacing w:val="0"/>
        <w:jc w:val="left"/>
        <w:rPr>
          <w:rFonts w:cs="Arial"/>
          <w:color w:val="auto"/>
        </w:rPr>
      </w:pPr>
      <w:r w:rsidRPr="003C14C5">
        <w:rPr>
          <w:rFonts w:cs="Arial"/>
          <w:b/>
          <w:bCs/>
          <w:color w:val="auto"/>
        </w:rPr>
        <w:t>Reduzierung Dienstreisen</w:t>
      </w:r>
      <w:r w:rsidR="000108DA" w:rsidRPr="003C14C5">
        <w:rPr>
          <w:rFonts w:cs="Arial"/>
          <w:b/>
          <w:bCs/>
          <w:color w:val="auto"/>
        </w:rPr>
        <w:t>:</w:t>
      </w:r>
      <w:r w:rsidR="000108DA" w:rsidRPr="003C14C5">
        <w:rPr>
          <w:rFonts w:cs="Arial"/>
          <w:color w:val="auto"/>
        </w:rPr>
        <w:t xml:space="preserve"> </w:t>
      </w:r>
    </w:p>
    <w:p w14:paraId="2F70289D" w14:textId="77777777" w:rsidR="000108DA"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 xml:space="preserve">Einführung von Teams für Besprechungen mit Kunden und zwischen den Standorten. </w:t>
      </w:r>
    </w:p>
    <w:p w14:paraId="7013F8B1" w14:textId="5512B242" w:rsidR="00184227"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Ziel: Reduzierung um 60% von durchschnittlich 40 Dienstreisen auf 16 Dienstreisen im Jahr.</w:t>
      </w:r>
    </w:p>
    <w:p w14:paraId="24F413F0" w14:textId="25748A09" w:rsidR="003C402A" w:rsidRPr="00D65578" w:rsidRDefault="003C402A" w:rsidP="00D65578">
      <w:pPr>
        <w:pStyle w:val="Listenabsatz"/>
        <w:spacing w:after="120" w:line="280" w:lineRule="atLeast"/>
        <w:ind w:left="1134"/>
        <w:contextualSpacing w:val="0"/>
        <w:jc w:val="left"/>
        <w:rPr>
          <w:rFonts w:cs="Arial"/>
          <w:i/>
          <w:color w:val="auto"/>
        </w:rPr>
      </w:pPr>
      <w:r w:rsidRPr="00D65578">
        <w:rPr>
          <w:rFonts w:cs="Arial"/>
          <w:i/>
          <w:color w:val="auto"/>
        </w:rPr>
        <w:t>Erfolgreich umgesetzt</w:t>
      </w:r>
      <w:r w:rsidR="00E75F75" w:rsidRPr="00D65578">
        <w:rPr>
          <w:rFonts w:cs="Arial"/>
          <w:i/>
          <w:color w:val="auto"/>
        </w:rPr>
        <w:t>, Ziel fast erreicht</w:t>
      </w:r>
      <w:r w:rsidRPr="00D65578">
        <w:rPr>
          <w:rFonts w:cs="Arial"/>
          <w:i/>
          <w:color w:val="auto"/>
        </w:rPr>
        <w:t xml:space="preserve">. </w:t>
      </w:r>
      <w:r w:rsidR="00E75F75" w:rsidRPr="00D65578">
        <w:rPr>
          <w:rFonts w:cs="Arial"/>
          <w:i/>
          <w:color w:val="auto"/>
        </w:rPr>
        <w:t>3</w:t>
      </w:r>
      <w:r w:rsidRPr="00D65578">
        <w:rPr>
          <w:rFonts w:cs="Arial"/>
          <w:i/>
          <w:color w:val="auto"/>
        </w:rPr>
        <w:t xml:space="preserve"> Dienstreisen zu Kunden / Partnern, 1</w:t>
      </w:r>
      <w:r w:rsidR="00E75F75" w:rsidRPr="00D65578">
        <w:rPr>
          <w:rFonts w:cs="Arial"/>
          <w:i/>
          <w:color w:val="auto"/>
        </w:rPr>
        <w:t>4</w:t>
      </w:r>
      <w:r w:rsidRPr="00D65578">
        <w:rPr>
          <w:rFonts w:cs="Arial"/>
          <w:i/>
          <w:color w:val="auto"/>
        </w:rPr>
        <w:t xml:space="preserve"> Fahrten zwischen den Niederlassungen.</w:t>
      </w:r>
    </w:p>
    <w:p w14:paraId="3DEFBC94" w14:textId="77777777" w:rsidR="000108DA" w:rsidRPr="003C14C5" w:rsidRDefault="00184227" w:rsidP="009215B1">
      <w:pPr>
        <w:pStyle w:val="Listenabsatz"/>
        <w:numPr>
          <w:ilvl w:val="0"/>
          <w:numId w:val="41"/>
        </w:numPr>
        <w:spacing w:after="120" w:line="280" w:lineRule="atLeast"/>
        <w:contextualSpacing w:val="0"/>
        <w:jc w:val="left"/>
        <w:rPr>
          <w:rFonts w:cs="Arial"/>
          <w:b/>
          <w:bCs/>
          <w:color w:val="auto"/>
        </w:rPr>
      </w:pPr>
      <w:r w:rsidRPr="003C14C5">
        <w:rPr>
          <w:rFonts w:cs="Arial"/>
          <w:b/>
          <w:bCs/>
          <w:color w:val="auto"/>
        </w:rPr>
        <w:t>Ausbau Home</w:t>
      </w:r>
      <w:r w:rsidR="000108DA" w:rsidRPr="003C14C5">
        <w:rPr>
          <w:rFonts w:cs="Arial"/>
          <w:b/>
          <w:bCs/>
          <w:color w:val="auto"/>
        </w:rPr>
        <w:t>o</w:t>
      </w:r>
      <w:r w:rsidRPr="003C14C5">
        <w:rPr>
          <w:rFonts w:cs="Arial"/>
          <w:b/>
          <w:bCs/>
          <w:color w:val="auto"/>
        </w:rPr>
        <w:t>ffice</w:t>
      </w:r>
      <w:r w:rsidR="000108DA" w:rsidRPr="003C14C5">
        <w:rPr>
          <w:rFonts w:cs="Arial"/>
          <w:b/>
          <w:bCs/>
          <w:color w:val="auto"/>
        </w:rPr>
        <w:t xml:space="preserve">: </w:t>
      </w:r>
    </w:p>
    <w:p w14:paraId="0DB1AA31" w14:textId="14986130" w:rsidR="000108DA"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Ein Teil der Belegschaft kann tageweise aus dem Homeoffice arbeiten und spart so die Anfahrt ins Büro.</w:t>
      </w:r>
    </w:p>
    <w:p w14:paraId="228CACDE" w14:textId="3B2F2FDC" w:rsidR="00184227"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Ziel: 400 Tage Homeoffice im Jahr 2021.</w:t>
      </w:r>
    </w:p>
    <w:p w14:paraId="1C4BDB53" w14:textId="488D88B8" w:rsidR="003C402A" w:rsidRPr="00D65578" w:rsidRDefault="00E75F75" w:rsidP="00D65578">
      <w:pPr>
        <w:pStyle w:val="Listenabsatz"/>
        <w:spacing w:after="120" w:line="280" w:lineRule="atLeast"/>
        <w:ind w:left="1134"/>
        <w:contextualSpacing w:val="0"/>
        <w:jc w:val="left"/>
        <w:rPr>
          <w:rFonts w:cs="Arial"/>
          <w:i/>
          <w:color w:val="auto"/>
        </w:rPr>
      </w:pPr>
      <w:r w:rsidRPr="00D65578">
        <w:rPr>
          <w:rFonts w:cs="Arial"/>
          <w:i/>
          <w:color w:val="auto"/>
        </w:rPr>
        <w:t xml:space="preserve">Ziel nicht ganz erreicht: </w:t>
      </w:r>
      <w:r w:rsidR="003C402A" w:rsidRPr="00D65578">
        <w:rPr>
          <w:rFonts w:cs="Arial"/>
          <w:i/>
          <w:color w:val="auto"/>
        </w:rPr>
        <w:t>325 Tage Homeoffice</w:t>
      </w:r>
      <w:r w:rsidRPr="00D65578">
        <w:rPr>
          <w:rFonts w:cs="Arial"/>
          <w:i/>
          <w:color w:val="auto"/>
        </w:rPr>
        <w:t>, überproportionale Krankheitstage haben die Option Homeoffice geschmälert.</w:t>
      </w:r>
    </w:p>
    <w:p w14:paraId="6FE1BB69" w14:textId="03F2A4D4" w:rsidR="000108DA" w:rsidRPr="003C14C5" w:rsidRDefault="00184227" w:rsidP="009215B1">
      <w:pPr>
        <w:pStyle w:val="Listenabsatz"/>
        <w:numPr>
          <w:ilvl w:val="0"/>
          <w:numId w:val="41"/>
        </w:numPr>
        <w:spacing w:after="120" w:line="280" w:lineRule="atLeast"/>
        <w:contextualSpacing w:val="0"/>
        <w:jc w:val="left"/>
        <w:rPr>
          <w:rFonts w:cs="Arial"/>
          <w:color w:val="auto"/>
        </w:rPr>
      </w:pPr>
      <w:r w:rsidRPr="003C14C5">
        <w:rPr>
          <w:rFonts w:cs="Arial"/>
          <w:b/>
          <w:bCs/>
          <w:color w:val="auto"/>
        </w:rPr>
        <w:t>Projekt Papierloses Büro</w:t>
      </w:r>
      <w:r w:rsidR="003649B6" w:rsidRPr="003C14C5">
        <w:rPr>
          <w:rFonts w:cs="Arial"/>
          <w:color w:val="auto"/>
        </w:rPr>
        <w:t xml:space="preserve"> (Start Juni 2021)</w:t>
      </w:r>
    </w:p>
    <w:p w14:paraId="0887A5E3" w14:textId="22370E5F" w:rsidR="000108DA"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 xml:space="preserve">Ein Projekt, das seit Jahren läuft und nun nochmals verstärkt werden soll. Umstieg auf umweltfreundliches Papier, sofern die erforderliche Qualität es zulässt. Verstärkter doppelseitiger Druck. Sensibilisierung aller </w:t>
      </w:r>
      <w:r w:rsidR="00647F48">
        <w:rPr>
          <w:rFonts w:cs="Arial"/>
          <w:color w:val="auto"/>
        </w:rPr>
        <w:t>Teammitglieder</w:t>
      </w:r>
      <w:r w:rsidRPr="003C14C5">
        <w:rPr>
          <w:rFonts w:cs="Arial"/>
          <w:color w:val="auto"/>
        </w:rPr>
        <w:t>.</w:t>
      </w:r>
    </w:p>
    <w:p w14:paraId="423014CE" w14:textId="4A416863" w:rsidR="000108DA" w:rsidRPr="003C14C5" w:rsidRDefault="000108DA" w:rsidP="009215B1">
      <w:pPr>
        <w:pStyle w:val="Listenabsatz"/>
        <w:spacing w:after="120" w:line="280" w:lineRule="atLeast"/>
        <w:contextualSpacing w:val="0"/>
        <w:jc w:val="left"/>
        <w:rPr>
          <w:rFonts w:cs="Arial"/>
          <w:color w:val="auto"/>
        </w:rPr>
      </w:pPr>
      <w:r w:rsidRPr="003C14C5">
        <w:rPr>
          <w:rFonts w:cs="Arial"/>
          <w:color w:val="auto"/>
        </w:rPr>
        <w:t>Ziel: Reduzierung des Papierverbrauchs auf 70% des Vorjahrs.</w:t>
      </w:r>
      <w:r w:rsidR="003649B6" w:rsidRPr="003C14C5">
        <w:rPr>
          <w:rFonts w:cs="Arial"/>
          <w:color w:val="auto"/>
        </w:rPr>
        <w:t xml:space="preserve"> </w:t>
      </w:r>
      <w:r w:rsidRPr="003C14C5">
        <w:rPr>
          <w:rFonts w:cs="Arial"/>
          <w:color w:val="auto"/>
        </w:rPr>
        <w:t>Einsparung von Toner um 20%</w:t>
      </w:r>
      <w:r w:rsidR="003649B6" w:rsidRPr="003C14C5">
        <w:rPr>
          <w:rFonts w:cs="Arial"/>
          <w:color w:val="auto"/>
        </w:rPr>
        <w:t xml:space="preserve"> </w:t>
      </w:r>
    </w:p>
    <w:p w14:paraId="4A4E6E36" w14:textId="6696F638" w:rsidR="003C402A" w:rsidRPr="00D65578" w:rsidRDefault="00F95FDF" w:rsidP="00D65578">
      <w:pPr>
        <w:pStyle w:val="Listenabsatz"/>
        <w:spacing w:after="120" w:line="280" w:lineRule="atLeast"/>
        <w:ind w:left="1134"/>
        <w:contextualSpacing w:val="0"/>
        <w:jc w:val="left"/>
        <w:rPr>
          <w:rFonts w:cs="Arial"/>
          <w:i/>
          <w:color w:val="auto"/>
        </w:rPr>
      </w:pPr>
      <w:r w:rsidRPr="00D65578">
        <w:rPr>
          <w:rFonts w:cs="Arial"/>
          <w:i/>
          <w:color w:val="auto"/>
        </w:rPr>
        <w:t>Da die systematische Aufzeichnung erst seit 2021 erfolgt, gibt es noch keine Vergleichszahlen.</w:t>
      </w:r>
    </w:p>
    <w:p w14:paraId="4C5BE469" w14:textId="352F28FB" w:rsidR="00184227" w:rsidRPr="003C14C5" w:rsidRDefault="00184227" w:rsidP="009215B1">
      <w:pPr>
        <w:pStyle w:val="Listenabsatz"/>
        <w:numPr>
          <w:ilvl w:val="0"/>
          <w:numId w:val="41"/>
        </w:numPr>
        <w:spacing w:after="120" w:line="280" w:lineRule="atLeast"/>
        <w:contextualSpacing w:val="0"/>
        <w:jc w:val="left"/>
        <w:rPr>
          <w:rFonts w:cs="Arial"/>
          <w:b/>
          <w:bCs/>
          <w:color w:val="auto"/>
        </w:rPr>
      </w:pPr>
      <w:r w:rsidRPr="003C14C5">
        <w:rPr>
          <w:rFonts w:cs="Arial"/>
          <w:b/>
          <w:bCs/>
          <w:color w:val="auto"/>
        </w:rPr>
        <w:t>Projekt Stromfresser</w:t>
      </w:r>
      <w:r w:rsidR="003649B6" w:rsidRPr="003C14C5">
        <w:rPr>
          <w:rFonts w:cs="Arial"/>
          <w:b/>
          <w:bCs/>
          <w:color w:val="auto"/>
        </w:rPr>
        <w:t xml:space="preserve"> </w:t>
      </w:r>
      <w:r w:rsidR="003649B6" w:rsidRPr="003C14C5">
        <w:rPr>
          <w:rFonts w:cs="Arial"/>
          <w:color w:val="auto"/>
        </w:rPr>
        <w:t>(Start Juni 2021)</w:t>
      </w:r>
    </w:p>
    <w:p w14:paraId="7FEB9907" w14:textId="6D43F02F" w:rsidR="003649B6" w:rsidRPr="003C14C5" w:rsidRDefault="003649B6" w:rsidP="009215B1">
      <w:pPr>
        <w:pStyle w:val="Listenabsatz"/>
        <w:spacing w:after="120" w:line="280" w:lineRule="atLeast"/>
        <w:contextualSpacing w:val="0"/>
        <w:jc w:val="left"/>
        <w:rPr>
          <w:rFonts w:cs="Arial"/>
          <w:color w:val="auto"/>
        </w:rPr>
      </w:pPr>
      <w:r w:rsidRPr="003C14C5">
        <w:rPr>
          <w:rFonts w:cs="Arial"/>
          <w:color w:val="auto"/>
        </w:rPr>
        <w:t xml:space="preserve">Möglichst getrennte Zähler für Strom der Elektrofahrzeuge. Sensibilisierung der </w:t>
      </w:r>
      <w:r w:rsidR="00647F48">
        <w:rPr>
          <w:rFonts w:cs="Arial"/>
          <w:color w:val="auto"/>
        </w:rPr>
        <w:t>Teammitglieder</w:t>
      </w:r>
      <w:r w:rsidRPr="003C14C5">
        <w:rPr>
          <w:rFonts w:cs="Arial"/>
          <w:color w:val="auto"/>
        </w:rPr>
        <w:t xml:space="preserve"> für einen sparsamen Stromverbrauch. Kontrolle des Stromverbrauchs aller Geräte, Prüfung von Standby-Modus, komplettem Abschalten statt Standby, Beleuchtung über Bewegungsmelder, Reduktion am Wochenende</w:t>
      </w:r>
    </w:p>
    <w:p w14:paraId="7681B7EC" w14:textId="77777777" w:rsidR="003C402A" w:rsidRPr="003C14C5" w:rsidRDefault="003649B6" w:rsidP="009215B1">
      <w:pPr>
        <w:pStyle w:val="Listenabsatz"/>
        <w:spacing w:after="120" w:line="280" w:lineRule="atLeast"/>
        <w:contextualSpacing w:val="0"/>
        <w:jc w:val="left"/>
        <w:rPr>
          <w:rFonts w:cs="Arial"/>
          <w:color w:val="auto"/>
        </w:rPr>
      </w:pPr>
      <w:r w:rsidRPr="003C14C5">
        <w:rPr>
          <w:rFonts w:cs="Arial"/>
          <w:color w:val="auto"/>
        </w:rPr>
        <w:t>Ziel: Reduzierung des Stromverbrauchs für das Gebäude um 5%.</w:t>
      </w:r>
    </w:p>
    <w:p w14:paraId="22E9E2DA" w14:textId="62623475" w:rsidR="003649B6" w:rsidRPr="00D65578" w:rsidRDefault="003C402A" w:rsidP="00D65578">
      <w:pPr>
        <w:pStyle w:val="Listenabsatz"/>
        <w:spacing w:after="120" w:line="280" w:lineRule="atLeast"/>
        <w:ind w:left="1134"/>
        <w:contextualSpacing w:val="0"/>
        <w:jc w:val="left"/>
        <w:rPr>
          <w:rFonts w:cs="Arial"/>
          <w:i/>
          <w:color w:val="auto"/>
        </w:rPr>
      </w:pPr>
      <w:r w:rsidRPr="00D65578">
        <w:rPr>
          <w:rFonts w:cs="Arial"/>
          <w:i/>
          <w:color w:val="auto"/>
        </w:rPr>
        <w:t>Getrennte Zähler für E-Fahrzeuge konnten nicht umgesetzt werden. Keine Ermittlung derzeit möglich.</w:t>
      </w:r>
      <w:r w:rsidR="00F95FDF" w:rsidRPr="00D65578">
        <w:rPr>
          <w:rFonts w:cs="Arial"/>
          <w:i/>
          <w:color w:val="auto"/>
        </w:rPr>
        <w:t xml:space="preserve"> Allerdings wurde LED-Beleuchtung noch vollständig umgesetzt, Lichter schalten sich automatisch aus in vielen Gebäudebereichen</w:t>
      </w:r>
      <w:r w:rsidR="00F95FDF" w:rsidRPr="00D65578">
        <w:rPr>
          <w:rFonts w:cs="Arial"/>
          <w:b/>
          <w:bCs/>
          <w:color w:val="auto"/>
        </w:rPr>
        <w:t xml:space="preserve"> </w:t>
      </w:r>
      <w:r w:rsidR="00F95FDF" w:rsidRPr="00D65578">
        <w:rPr>
          <w:rFonts w:cs="Arial"/>
          <w:i/>
          <w:color w:val="auto"/>
        </w:rPr>
        <w:t>(Küche, Gang, WC, Halle)</w:t>
      </w:r>
    </w:p>
    <w:p w14:paraId="07FEA9F1" w14:textId="6B1E956A" w:rsidR="00184227" w:rsidRPr="003C14C5" w:rsidRDefault="00184227" w:rsidP="009215B1">
      <w:pPr>
        <w:pStyle w:val="Listenabsatz"/>
        <w:numPr>
          <w:ilvl w:val="0"/>
          <w:numId w:val="41"/>
        </w:numPr>
        <w:spacing w:after="120" w:line="280" w:lineRule="atLeast"/>
        <w:jc w:val="left"/>
        <w:rPr>
          <w:rFonts w:cs="Arial"/>
          <w:b/>
          <w:bCs/>
          <w:color w:val="auto"/>
        </w:rPr>
      </w:pPr>
      <w:r w:rsidRPr="003C14C5">
        <w:rPr>
          <w:rFonts w:cs="Arial"/>
          <w:b/>
          <w:bCs/>
          <w:color w:val="auto"/>
        </w:rPr>
        <w:t>Testlauf E-Mobil</w:t>
      </w:r>
      <w:r w:rsidR="003649B6" w:rsidRPr="003C14C5">
        <w:rPr>
          <w:rFonts w:cs="Arial"/>
          <w:b/>
          <w:bCs/>
          <w:color w:val="auto"/>
        </w:rPr>
        <w:t>ität</w:t>
      </w:r>
      <w:r w:rsidRPr="003C14C5">
        <w:rPr>
          <w:rFonts w:cs="Arial"/>
          <w:b/>
          <w:bCs/>
          <w:color w:val="auto"/>
        </w:rPr>
        <w:t xml:space="preserve"> in Erlangen</w:t>
      </w:r>
    </w:p>
    <w:p w14:paraId="7BDF84B0" w14:textId="27F86A6D" w:rsidR="00184227" w:rsidRPr="003C14C5" w:rsidRDefault="003649B6" w:rsidP="009215B1">
      <w:pPr>
        <w:spacing w:line="280" w:lineRule="atLeast"/>
        <w:ind w:left="720"/>
        <w:jc w:val="left"/>
        <w:rPr>
          <w:rFonts w:cs="Arial"/>
          <w:color w:val="auto"/>
        </w:rPr>
      </w:pPr>
      <w:r w:rsidRPr="003C14C5">
        <w:rPr>
          <w:rFonts w:cs="Arial"/>
          <w:color w:val="auto"/>
        </w:rPr>
        <w:t>Zwei Fahrzeuge sind bestellt und werden für den Stadtverkehr getestet.</w:t>
      </w:r>
    </w:p>
    <w:p w14:paraId="00178CCD" w14:textId="6C83503B" w:rsidR="003649B6" w:rsidRPr="003C14C5" w:rsidRDefault="003649B6" w:rsidP="009215B1">
      <w:pPr>
        <w:spacing w:after="120" w:line="280" w:lineRule="atLeast"/>
        <w:ind w:left="720"/>
        <w:jc w:val="left"/>
        <w:rPr>
          <w:rFonts w:cs="Arial"/>
          <w:color w:val="auto"/>
        </w:rPr>
      </w:pPr>
      <w:r w:rsidRPr="003C14C5">
        <w:rPr>
          <w:rFonts w:cs="Arial"/>
          <w:color w:val="auto"/>
        </w:rPr>
        <w:t xml:space="preserve">Zwei </w:t>
      </w:r>
      <w:r w:rsidR="00647F48">
        <w:rPr>
          <w:rFonts w:cs="Arial"/>
          <w:color w:val="auto"/>
        </w:rPr>
        <w:t>Teammitglieder</w:t>
      </w:r>
      <w:r w:rsidRPr="003C14C5">
        <w:rPr>
          <w:rFonts w:cs="Arial"/>
          <w:color w:val="auto"/>
        </w:rPr>
        <w:t xml:space="preserve"> aus Erlangen erhalten Hybridfahrzeuge als Dienstwagen.</w:t>
      </w:r>
    </w:p>
    <w:p w14:paraId="3351A2B8" w14:textId="5D5312D7" w:rsidR="003649B6" w:rsidRPr="003C14C5" w:rsidRDefault="003649B6" w:rsidP="009215B1">
      <w:pPr>
        <w:spacing w:line="280" w:lineRule="atLeast"/>
        <w:ind w:left="720"/>
        <w:jc w:val="left"/>
        <w:rPr>
          <w:rFonts w:cs="Arial"/>
          <w:color w:val="auto"/>
        </w:rPr>
      </w:pPr>
      <w:r w:rsidRPr="003C14C5">
        <w:rPr>
          <w:rFonts w:cs="Arial"/>
          <w:color w:val="auto"/>
        </w:rPr>
        <w:t>Ziel: Da die Lieferzeiten aktuell nicht vorhersehbar sind, kann keine Zielangabe für Treibstoffeinsparung aktuell erfolgen</w:t>
      </w:r>
      <w:r w:rsidR="003C402A" w:rsidRPr="003C14C5">
        <w:rPr>
          <w:rFonts w:cs="Arial"/>
          <w:color w:val="auto"/>
        </w:rPr>
        <w:t>.</w:t>
      </w:r>
    </w:p>
    <w:p w14:paraId="408AD9F1" w14:textId="77777777" w:rsidR="003C402A" w:rsidRPr="003C14C5" w:rsidRDefault="003C402A" w:rsidP="009215B1">
      <w:pPr>
        <w:spacing w:line="280" w:lineRule="atLeast"/>
        <w:ind w:left="720"/>
        <w:jc w:val="left"/>
        <w:rPr>
          <w:rFonts w:cs="Arial"/>
          <w:color w:val="auto"/>
        </w:rPr>
      </w:pPr>
    </w:p>
    <w:p w14:paraId="10DD7ADF" w14:textId="04A9DE93" w:rsidR="00A177A5" w:rsidRDefault="00F95FDF">
      <w:pPr>
        <w:spacing w:line="280" w:lineRule="atLeast"/>
        <w:ind w:left="1134"/>
        <w:jc w:val="left"/>
        <w:rPr>
          <w:rFonts w:cs="Arial"/>
          <w:i/>
          <w:color w:val="auto"/>
        </w:rPr>
      </w:pPr>
      <w:r w:rsidRPr="00D65578">
        <w:rPr>
          <w:rFonts w:cs="Arial"/>
          <w:i/>
          <w:color w:val="auto"/>
        </w:rPr>
        <w:t xml:space="preserve">Ziel erreicht: Zum 31.12. hatte KDE </w:t>
      </w:r>
      <w:r w:rsidR="003C402A" w:rsidRPr="00D65578">
        <w:rPr>
          <w:rFonts w:cs="Arial"/>
          <w:i/>
          <w:color w:val="auto"/>
        </w:rPr>
        <w:t>2 E-Fahrzeuge</w:t>
      </w:r>
      <w:r w:rsidRPr="00D65578">
        <w:rPr>
          <w:rFonts w:cs="Arial"/>
          <w:i/>
          <w:color w:val="auto"/>
        </w:rPr>
        <w:t xml:space="preserve"> und 4</w:t>
      </w:r>
      <w:r w:rsidR="004D7A48" w:rsidRPr="00D65578">
        <w:rPr>
          <w:rFonts w:cs="Arial"/>
          <w:i/>
          <w:color w:val="auto"/>
        </w:rPr>
        <w:t xml:space="preserve"> Hybrid</w:t>
      </w:r>
      <w:r w:rsidRPr="00D65578">
        <w:rPr>
          <w:rFonts w:cs="Arial"/>
          <w:i/>
          <w:color w:val="auto"/>
        </w:rPr>
        <w:t xml:space="preserve">-Fahrzeuge im Einsatz (Kurier und Dienstwagen). </w:t>
      </w:r>
      <w:r w:rsidR="0038683B" w:rsidRPr="00D65578">
        <w:rPr>
          <w:rFonts w:cs="Arial"/>
          <w:i/>
          <w:color w:val="auto"/>
        </w:rPr>
        <w:br/>
      </w:r>
      <w:r w:rsidRPr="00D65578">
        <w:rPr>
          <w:rFonts w:cs="Arial"/>
          <w:i/>
          <w:color w:val="auto"/>
        </w:rPr>
        <w:t>1 Hybrid-Fahrzeug davon ist in Rodgau im Einsatz, ein</w:t>
      </w:r>
      <w:r w:rsidR="005A2BA4">
        <w:rPr>
          <w:rFonts w:cs="Arial"/>
          <w:i/>
          <w:color w:val="auto"/>
        </w:rPr>
        <w:t>e</w:t>
      </w:r>
      <w:r w:rsidRPr="00D65578">
        <w:rPr>
          <w:rFonts w:cs="Arial"/>
          <w:i/>
          <w:color w:val="auto"/>
        </w:rPr>
        <w:t xml:space="preserve"> Ladestelle wurde bei KDE Rodgau dafür geschaffen</w:t>
      </w:r>
      <w:r w:rsidR="005A2BA4">
        <w:rPr>
          <w:rFonts w:cs="Arial"/>
          <w:i/>
          <w:color w:val="auto"/>
        </w:rPr>
        <w:t xml:space="preserve"> – war ursprünglich erst für 2022 geplant</w:t>
      </w:r>
      <w:r w:rsidRPr="00D65578">
        <w:rPr>
          <w:rFonts w:cs="Arial"/>
          <w:i/>
          <w:color w:val="auto"/>
        </w:rPr>
        <w:t>.</w:t>
      </w:r>
      <w:r w:rsidR="0038683B" w:rsidRPr="00D65578">
        <w:rPr>
          <w:rFonts w:cs="Arial"/>
          <w:i/>
          <w:color w:val="auto"/>
        </w:rPr>
        <w:t xml:space="preserve"> </w:t>
      </w:r>
    </w:p>
    <w:p w14:paraId="33EBB1EE" w14:textId="3DAFD488" w:rsidR="00545420" w:rsidRPr="0071541C" w:rsidRDefault="00A177A5" w:rsidP="00545420">
      <w:pPr>
        <w:pStyle w:val="berschrift3"/>
        <w:rPr>
          <w:bCs/>
        </w:rPr>
      </w:pPr>
      <w:r>
        <w:rPr>
          <w:rFonts w:cs="Arial"/>
          <w:i/>
          <w:color w:val="auto"/>
        </w:rPr>
        <w:br w:type="page"/>
      </w:r>
      <w:bookmarkStart w:id="275" w:name="_Toc134727825"/>
      <w:bookmarkStart w:id="276" w:name="_Toc134727969"/>
      <w:bookmarkStart w:id="277" w:name="_Toc134728370"/>
      <w:bookmarkStart w:id="278" w:name="_Toc134727826"/>
      <w:bookmarkStart w:id="279" w:name="_Toc134727970"/>
      <w:bookmarkStart w:id="280" w:name="_Toc134728371"/>
      <w:bookmarkStart w:id="281" w:name="_Toc135811119"/>
      <w:bookmarkEnd w:id="275"/>
      <w:bookmarkEnd w:id="276"/>
      <w:bookmarkEnd w:id="277"/>
      <w:bookmarkEnd w:id="278"/>
      <w:bookmarkEnd w:id="279"/>
      <w:bookmarkEnd w:id="280"/>
      <w:r w:rsidR="00545420" w:rsidRPr="0071541C">
        <w:rPr>
          <w:bCs/>
        </w:rPr>
        <w:t>Rückblick auf 2022</w:t>
      </w:r>
      <w:bookmarkEnd w:id="281"/>
      <w:r w:rsidR="00545420" w:rsidRPr="0071541C">
        <w:rPr>
          <w:bCs/>
        </w:rPr>
        <w:t xml:space="preserve"> </w:t>
      </w:r>
    </w:p>
    <w:p w14:paraId="1DFA4289" w14:textId="75FDC76B" w:rsidR="00184227" w:rsidRPr="00D65578" w:rsidRDefault="003C14C5" w:rsidP="009215B1">
      <w:pPr>
        <w:pStyle w:val="Listenabsatz"/>
        <w:numPr>
          <w:ilvl w:val="0"/>
          <w:numId w:val="41"/>
        </w:numPr>
        <w:spacing w:after="120" w:line="280" w:lineRule="atLeast"/>
        <w:contextualSpacing w:val="0"/>
        <w:jc w:val="left"/>
        <w:rPr>
          <w:rFonts w:cs="Arial"/>
          <w:b/>
          <w:bCs/>
          <w:color w:val="auto"/>
        </w:rPr>
      </w:pPr>
      <w:r w:rsidRPr="00D65578">
        <w:rPr>
          <w:rFonts w:cs="Arial"/>
          <w:b/>
          <w:bCs/>
          <w:color w:val="auto"/>
        </w:rPr>
        <w:t xml:space="preserve">Vorplanung für eine </w:t>
      </w:r>
      <w:r w:rsidR="00184227" w:rsidRPr="00D65578">
        <w:rPr>
          <w:rFonts w:cs="Arial"/>
          <w:b/>
          <w:bCs/>
          <w:color w:val="auto"/>
        </w:rPr>
        <w:t>Photovoltaikanlage auf Hallendach KDE Erlangen</w:t>
      </w:r>
      <w:r w:rsidR="004D7A48" w:rsidRPr="00D65578">
        <w:rPr>
          <w:rFonts w:cs="Arial"/>
          <w:b/>
          <w:bCs/>
          <w:color w:val="auto"/>
        </w:rPr>
        <w:t>, Umsetzung 2023</w:t>
      </w:r>
      <w:r w:rsidR="00F95FDF" w:rsidRPr="00D65578">
        <w:rPr>
          <w:rFonts w:cs="Arial"/>
          <w:b/>
          <w:bCs/>
          <w:color w:val="auto"/>
        </w:rPr>
        <w:t xml:space="preserve"> </w:t>
      </w:r>
    </w:p>
    <w:p w14:paraId="0065746F" w14:textId="098A80CD" w:rsidR="00A177A5" w:rsidRPr="00D65578" w:rsidRDefault="00A177A5" w:rsidP="00D65578">
      <w:pPr>
        <w:spacing w:after="120" w:line="280" w:lineRule="atLeast"/>
        <w:ind w:left="1134"/>
        <w:jc w:val="left"/>
        <w:rPr>
          <w:rFonts w:cs="Arial"/>
          <w:i/>
          <w:iCs/>
          <w:color w:val="auto"/>
        </w:rPr>
      </w:pPr>
      <w:r w:rsidRPr="00D65578">
        <w:rPr>
          <w:rFonts w:cs="Arial"/>
          <w:i/>
          <w:iCs/>
          <w:color w:val="auto"/>
        </w:rPr>
        <w:t>Die Photovoltaikanlage ist beauftragt und soll im Oktober 2023 installiert werden. Ein früherer Termin war nicht möglich.</w:t>
      </w:r>
    </w:p>
    <w:p w14:paraId="03C2595B" w14:textId="77777777" w:rsidR="00A177A5" w:rsidRPr="00D65578" w:rsidRDefault="00A177A5" w:rsidP="00D65578">
      <w:pPr>
        <w:spacing w:after="120" w:line="280" w:lineRule="atLeast"/>
        <w:ind w:left="720"/>
        <w:jc w:val="left"/>
        <w:rPr>
          <w:rFonts w:cs="Arial"/>
          <w:color w:val="auto"/>
        </w:rPr>
      </w:pPr>
    </w:p>
    <w:p w14:paraId="4F0F19F0" w14:textId="4FC5C94F" w:rsidR="00184227" w:rsidRDefault="00184227" w:rsidP="009215B1">
      <w:pPr>
        <w:pStyle w:val="Listenabsatz"/>
        <w:numPr>
          <w:ilvl w:val="0"/>
          <w:numId w:val="41"/>
        </w:numPr>
        <w:spacing w:after="120" w:line="280" w:lineRule="atLeast"/>
        <w:contextualSpacing w:val="0"/>
        <w:jc w:val="left"/>
        <w:rPr>
          <w:rFonts w:cs="Arial"/>
          <w:b/>
          <w:bCs/>
          <w:color w:val="auto"/>
        </w:rPr>
      </w:pPr>
      <w:r w:rsidRPr="00D65578">
        <w:rPr>
          <w:rFonts w:cs="Arial"/>
          <w:b/>
          <w:bCs/>
          <w:color w:val="auto"/>
        </w:rPr>
        <w:t>Fortführung Projekt Papierloses Büro</w:t>
      </w:r>
    </w:p>
    <w:p w14:paraId="28C5DE78" w14:textId="3ACB4F85" w:rsidR="00A177A5" w:rsidRPr="00D65578" w:rsidRDefault="00A177A5" w:rsidP="00D65578">
      <w:pPr>
        <w:spacing w:after="120" w:line="280" w:lineRule="atLeast"/>
        <w:ind w:left="993"/>
        <w:jc w:val="left"/>
        <w:rPr>
          <w:rFonts w:cs="Arial"/>
          <w:i/>
          <w:color w:val="auto"/>
        </w:rPr>
      </w:pPr>
      <w:r w:rsidRPr="00D65578">
        <w:rPr>
          <w:rFonts w:cs="Arial"/>
          <w:i/>
          <w:color w:val="auto"/>
        </w:rPr>
        <w:t>Ergebnis ist nicht zufriedenstellend, wird 2023 fortgeführt.</w:t>
      </w:r>
    </w:p>
    <w:p w14:paraId="24E3967E" w14:textId="77777777" w:rsidR="00A177A5" w:rsidRDefault="00A177A5" w:rsidP="00D65578">
      <w:pPr>
        <w:pStyle w:val="Listenabsatz"/>
        <w:spacing w:after="120" w:line="280" w:lineRule="atLeast"/>
        <w:contextualSpacing w:val="0"/>
        <w:jc w:val="left"/>
        <w:rPr>
          <w:rFonts w:cs="Arial"/>
          <w:color w:val="auto"/>
        </w:rPr>
      </w:pPr>
    </w:p>
    <w:p w14:paraId="71C8C2CC" w14:textId="23D84AEF" w:rsidR="00184227" w:rsidRPr="00D65578" w:rsidRDefault="00184227" w:rsidP="009215B1">
      <w:pPr>
        <w:pStyle w:val="Listenabsatz"/>
        <w:numPr>
          <w:ilvl w:val="0"/>
          <w:numId w:val="41"/>
        </w:numPr>
        <w:spacing w:after="120" w:line="280" w:lineRule="atLeast"/>
        <w:contextualSpacing w:val="0"/>
        <w:jc w:val="left"/>
        <w:rPr>
          <w:rFonts w:cs="Arial"/>
          <w:b/>
          <w:bCs/>
          <w:color w:val="auto"/>
        </w:rPr>
      </w:pPr>
      <w:r w:rsidRPr="00D65578">
        <w:rPr>
          <w:rFonts w:cs="Arial"/>
          <w:b/>
          <w:bCs/>
          <w:color w:val="auto"/>
        </w:rPr>
        <w:t>Fortführung Projekt Stromfresser</w:t>
      </w:r>
      <w:r w:rsidR="00F95FDF" w:rsidRPr="00D65578">
        <w:rPr>
          <w:rFonts w:cs="Arial"/>
          <w:b/>
          <w:bCs/>
          <w:color w:val="auto"/>
        </w:rPr>
        <w:t xml:space="preserve"> und Erweiterung auf </w:t>
      </w:r>
      <w:r w:rsidR="005A2BA4" w:rsidRPr="00D65578">
        <w:rPr>
          <w:rFonts w:cs="Arial"/>
          <w:b/>
          <w:bCs/>
          <w:color w:val="auto"/>
        </w:rPr>
        <w:t>smartes Heizen</w:t>
      </w:r>
    </w:p>
    <w:p w14:paraId="76833149" w14:textId="3846F014" w:rsidR="00A177A5" w:rsidRPr="00D65578" w:rsidRDefault="00A177A5" w:rsidP="00D65578">
      <w:pPr>
        <w:spacing w:after="120" w:line="280" w:lineRule="atLeast"/>
        <w:ind w:left="993"/>
        <w:jc w:val="left"/>
        <w:rPr>
          <w:rFonts w:cs="Arial"/>
          <w:i/>
          <w:color w:val="auto"/>
        </w:rPr>
      </w:pPr>
      <w:r>
        <w:rPr>
          <w:rFonts w:cs="Arial"/>
          <w:i/>
          <w:color w:val="auto"/>
        </w:rPr>
        <w:t xml:space="preserve">Projekt ist erfolgreich abgeschlossen. </w:t>
      </w:r>
      <w:r w:rsidR="00941D36">
        <w:rPr>
          <w:rFonts w:cs="Arial"/>
          <w:i/>
          <w:color w:val="auto"/>
        </w:rPr>
        <w:t xml:space="preserve">Die Heizkosten konnten signifikant gesenkt werden. </w:t>
      </w:r>
    </w:p>
    <w:p w14:paraId="0A27F9CE" w14:textId="77777777" w:rsidR="00A177A5" w:rsidRDefault="00A177A5" w:rsidP="00D65578">
      <w:pPr>
        <w:pStyle w:val="Listenabsatz"/>
        <w:spacing w:after="120" w:line="280" w:lineRule="atLeast"/>
        <w:contextualSpacing w:val="0"/>
        <w:jc w:val="left"/>
        <w:rPr>
          <w:rFonts w:cs="Arial"/>
          <w:color w:val="auto"/>
        </w:rPr>
      </w:pPr>
    </w:p>
    <w:p w14:paraId="12D3459A" w14:textId="3499C504" w:rsidR="00184227" w:rsidRPr="00D65578" w:rsidRDefault="00184227" w:rsidP="009215B1">
      <w:pPr>
        <w:pStyle w:val="Listenabsatz"/>
        <w:numPr>
          <w:ilvl w:val="0"/>
          <w:numId w:val="41"/>
        </w:numPr>
        <w:spacing w:after="120" w:line="280" w:lineRule="atLeast"/>
        <w:contextualSpacing w:val="0"/>
        <w:jc w:val="left"/>
        <w:rPr>
          <w:rFonts w:cs="Arial"/>
          <w:b/>
          <w:bCs/>
          <w:color w:val="auto"/>
        </w:rPr>
      </w:pPr>
      <w:r w:rsidRPr="00D65578">
        <w:rPr>
          <w:rFonts w:cs="Arial"/>
          <w:b/>
          <w:bCs/>
          <w:color w:val="auto"/>
        </w:rPr>
        <w:t>Projekt Klimafreundliche Büro- und Werbemittel</w:t>
      </w:r>
    </w:p>
    <w:p w14:paraId="2DF59D43" w14:textId="76C7473E" w:rsidR="00941D36" w:rsidRDefault="00941D36" w:rsidP="00941D36">
      <w:pPr>
        <w:spacing w:after="120" w:line="280" w:lineRule="atLeast"/>
        <w:ind w:left="993"/>
        <w:jc w:val="left"/>
        <w:rPr>
          <w:rFonts w:cs="Arial"/>
          <w:i/>
          <w:color w:val="auto"/>
        </w:rPr>
      </w:pPr>
      <w:r>
        <w:rPr>
          <w:rFonts w:cs="Arial"/>
          <w:i/>
          <w:color w:val="auto"/>
        </w:rPr>
        <w:t>Das Projekt ist gestartet und wir</w:t>
      </w:r>
      <w:r w:rsidR="00C759DF">
        <w:rPr>
          <w:rFonts w:cs="Arial"/>
          <w:i/>
          <w:color w:val="auto"/>
        </w:rPr>
        <w:t>d</w:t>
      </w:r>
      <w:r>
        <w:rPr>
          <w:rFonts w:cs="Arial"/>
          <w:i/>
          <w:color w:val="auto"/>
        </w:rPr>
        <w:t xml:space="preserve"> 2023 fortgeführt, allerdings gab es wenig Einkauf in diesem Bereich.</w:t>
      </w:r>
    </w:p>
    <w:p w14:paraId="563DE62C" w14:textId="77777777" w:rsidR="00941D36" w:rsidRDefault="00941D36" w:rsidP="00D65578">
      <w:pPr>
        <w:spacing w:after="120" w:line="280" w:lineRule="atLeast"/>
        <w:ind w:left="993"/>
        <w:jc w:val="left"/>
        <w:rPr>
          <w:rFonts w:cs="Arial"/>
          <w:color w:val="auto"/>
        </w:rPr>
      </w:pPr>
    </w:p>
    <w:p w14:paraId="57406E1A" w14:textId="3BBF7E6D" w:rsidR="00184227" w:rsidRDefault="00184227" w:rsidP="009215B1">
      <w:pPr>
        <w:pStyle w:val="Listenabsatz"/>
        <w:numPr>
          <w:ilvl w:val="0"/>
          <w:numId w:val="41"/>
        </w:numPr>
        <w:spacing w:after="120" w:line="280" w:lineRule="atLeast"/>
        <w:contextualSpacing w:val="0"/>
        <w:rPr>
          <w:rFonts w:cs="Arial"/>
          <w:b/>
          <w:bCs/>
          <w:color w:val="auto"/>
        </w:rPr>
      </w:pPr>
      <w:r w:rsidRPr="00D65578">
        <w:rPr>
          <w:rFonts w:cs="Arial"/>
          <w:b/>
          <w:bCs/>
          <w:color w:val="auto"/>
        </w:rPr>
        <w:t xml:space="preserve">Bereitstellung von E-Bikes für </w:t>
      </w:r>
      <w:r w:rsidR="00647F48">
        <w:rPr>
          <w:rFonts w:cs="Arial"/>
          <w:b/>
          <w:bCs/>
          <w:color w:val="auto"/>
        </w:rPr>
        <w:t>Teammitglieder</w:t>
      </w:r>
    </w:p>
    <w:p w14:paraId="63F806DD" w14:textId="4108B43E" w:rsidR="00941D36" w:rsidRPr="00D65578" w:rsidRDefault="00941D36" w:rsidP="00D65578">
      <w:pPr>
        <w:spacing w:after="120" w:line="280" w:lineRule="atLeast"/>
        <w:ind w:left="851"/>
        <w:rPr>
          <w:rFonts w:cs="Arial"/>
          <w:i/>
          <w:iCs/>
          <w:color w:val="auto"/>
        </w:rPr>
      </w:pPr>
      <w:r w:rsidRPr="00D65578">
        <w:rPr>
          <w:rFonts w:cs="Arial"/>
          <w:i/>
          <w:iCs/>
          <w:color w:val="auto"/>
        </w:rPr>
        <w:t>Nicht umgesetzt. Neuaufnahme 2023</w:t>
      </w:r>
    </w:p>
    <w:p w14:paraId="30EE9CD4" w14:textId="3C620001" w:rsidR="00941D36" w:rsidRPr="0071541C" w:rsidRDefault="00941D36" w:rsidP="00D65578">
      <w:pPr>
        <w:pStyle w:val="berschrift3"/>
        <w:numPr>
          <w:ilvl w:val="2"/>
          <w:numId w:val="45"/>
        </w:numPr>
        <w:rPr>
          <w:bCs/>
        </w:rPr>
      </w:pPr>
      <w:bookmarkStart w:id="282" w:name="_Toc104967366"/>
      <w:bookmarkStart w:id="283" w:name="_Toc104967367"/>
      <w:bookmarkStart w:id="284" w:name="_Toc135811120"/>
      <w:bookmarkEnd w:id="282"/>
      <w:bookmarkEnd w:id="283"/>
      <w:r w:rsidRPr="0071541C">
        <w:rPr>
          <w:bCs/>
        </w:rPr>
        <w:t>Planung für 2023</w:t>
      </w:r>
      <w:bookmarkEnd w:id="284"/>
    </w:p>
    <w:p w14:paraId="7CF6AD6B" w14:textId="77777777" w:rsidR="00941D36" w:rsidRDefault="00941D36" w:rsidP="00941D36">
      <w:pPr>
        <w:pStyle w:val="Listenabsatz"/>
        <w:numPr>
          <w:ilvl w:val="0"/>
          <w:numId w:val="41"/>
        </w:numPr>
        <w:spacing w:after="120" w:line="280" w:lineRule="atLeast"/>
        <w:contextualSpacing w:val="0"/>
        <w:rPr>
          <w:rFonts w:cs="Arial"/>
          <w:color w:val="auto"/>
        </w:rPr>
      </w:pPr>
      <w:r>
        <w:rPr>
          <w:rFonts w:cs="Arial"/>
          <w:color w:val="auto"/>
        </w:rPr>
        <w:t>Bau einer Photovoltaikanlage auf Hallendach KDE Erlangen</w:t>
      </w:r>
    </w:p>
    <w:p w14:paraId="0F92C485" w14:textId="11C7352E" w:rsidR="00941D36" w:rsidRDefault="00941D36" w:rsidP="00941D36">
      <w:pPr>
        <w:pStyle w:val="Listenabsatz"/>
        <w:numPr>
          <w:ilvl w:val="0"/>
          <w:numId w:val="41"/>
        </w:numPr>
        <w:spacing w:after="120" w:line="280" w:lineRule="atLeast"/>
        <w:contextualSpacing w:val="0"/>
        <w:rPr>
          <w:rFonts w:cs="Arial"/>
          <w:color w:val="auto"/>
        </w:rPr>
      </w:pPr>
      <w:r>
        <w:rPr>
          <w:rFonts w:cs="Arial"/>
          <w:color w:val="auto"/>
        </w:rPr>
        <w:t xml:space="preserve">E-Bikes für </w:t>
      </w:r>
      <w:r w:rsidR="00647F48">
        <w:rPr>
          <w:rFonts w:cs="Arial"/>
          <w:color w:val="auto"/>
        </w:rPr>
        <w:t>Teammitglieder</w:t>
      </w:r>
      <w:r>
        <w:rPr>
          <w:rFonts w:cs="Arial"/>
          <w:color w:val="auto"/>
        </w:rPr>
        <w:t xml:space="preserve"> mit finanziellem Anreiz für die Nutzung für den Arbeitsweg</w:t>
      </w:r>
    </w:p>
    <w:p w14:paraId="731E347D" w14:textId="1035F59A" w:rsidR="00234AE8" w:rsidRPr="00B25CA7" w:rsidRDefault="00234AE8" w:rsidP="00234AE8">
      <w:pPr>
        <w:pStyle w:val="Listenabsatz"/>
        <w:numPr>
          <w:ilvl w:val="0"/>
          <w:numId w:val="41"/>
        </w:numPr>
        <w:spacing w:after="120" w:line="280" w:lineRule="atLeast"/>
        <w:contextualSpacing w:val="0"/>
        <w:jc w:val="left"/>
        <w:rPr>
          <w:rFonts w:cs="Arial"/>
          <w:color w:val="auto"/>
        </w:rPr>
      </w:pPr>
      <w:r>
        <w:rPr>
          <w:rFonts w:cs="Arial"/>
          <w:color w:val="auto"/>
        </w:rPr>
        <w:t>Weiterer Ausbau Homeoffice</w:t>
      </w:r>
    </w:p>
    <w:p w14:paraId="5AC3D50A" w14:textId="6F1FCC32" w:rsidR="00941D36" w:rsidRPr="00D65578" w:rsidRDefault="00941D36" w:rsidP="00941D36">
      <w:pPr>
        <w:pStyle w:val="Listenabsatz"/>
        <w:numPr>
          <w:ilvl w:val="0"/>
          <w:numId w:val="41"/>
        </w:numPr>
        <w:spacing w:after="120" w:line="280" w:lineRule="atLeast"/>
        <w:contextualSpacing w:val="0"/>
        <w:jc w:val="left"/>
        <w:rPr>
          <w:rFonts w:cs="Arial"/>
          <w:color w:val="auto"/>
        </w:rPr>
      </w:pPr>
      <w:r w:rsidRPr="00D65578">
        <w:rPr>
          <w:rFonts w:cs="Arial"/>
          <w:color w:val="auto"/>
        </w:rPr>
        <w:t>Fortführung Projekt Klimafreundliche Büro- und Werbemittel</w:t>
      </w:r>
    </w:p>
    <w:p w14:paraId="7EDD58FE" w14:textId="77777777" w:rsidR="00941D36" w:rsidRDefault="00941D36" w:rsidP="00941D36">
      <w:pPr>
        <w:pStyle w:val="Listenabsatz"/>
        <w:numPr>
          <w:ilvl w:val="0"/>
          <w:numId w:val="41"/>
        </w:numPr>
        <w:spacing w:after="120" w:line="280" w:lineRule="atLeast"/>
        <w:contextualSpacing w:val="0"/>
        <w:jc w:val="left"/>
        <w:rPr>
          <w:rFonts w:cs="Arial"/>
          <w:color w:val="auto"/>
        </w:rPr>
      </w:pPr>
      <w:r w:rsidRPr="00D65578">
        <w:rPr>
          <w:rFonts w:cs="Arial"/>
          <w:color w:val="auto"/>
        </w:rPr>
        <w:t>Fortführung Projekt Papierloses Büro</w:t>
      </w:r>
    </w:p>
    <w:p w14:paraId="25F52B5C" w14:textId="52E4589D" w:rsidR="00234AE8" w:rsidRDefault="00234AE8" w:rsidP="00941D36">
      <w:pPr>
        <w:pStyle w:val="Listenabsatz"/>
        <w:numPr>
          <w:ilvl w:val="0"/>
          <w:numId w:val="41"/>
        </w:numPr>
        <w:spacing w:after="120" w:line="280" w:lineRule="atLeast"/>
        <w:contextualSpacing w:val="0"/>
        <w:jc w:val="left"/>
        <w:rPr>
          <w:rFonts w:cs="Arial"/>
          <w:color w:val="auto"/>
        </w:rPr>
      </w:pPr>
      <w:r>
        <w:rPr>
          <w:rFonts w:cs="Arial"/>
          <w:color w:val="auto"/>
        </w:rPr>
        <w:t>Aufnahme weiterer Kategorien in die Klimabilanz: Toner, Dienstbekleidung, Werbemittel, Büromöbel, IT-Hardware</w:t>
      </w:r>
    </w:p>
    <w:p w14:paraId="6DA28E43" w14:textId="77777777" w:rsidR="00941D36" w:rsidRPr="00D65578" w:rsidRDefault="00941D36" w:rsidP="00D65578">
      <w:pPr>
        <w:spacing w:after="120" w:line="280" w:lineRule="atLeast"/>
        <w:ind w:left="360"/>
        <w:rPr>
          <w:rFonts w:cs="Arial"/>
          <w:color w:val="auto"/>
        </w:rPr>
      </w:pPr>
    </w:p>
    <w:p w14:paraId="7BA73F3E" w14:textId="77777777" w:rsidR="00941D36" w:rsidRDefault="00941D36" w:rsidP="00941D36">
      <w:pPr>
        <w:pStyle w:val="Textkrper-Zeileneinzug"/>
      </w:pPr>
    </w:p>
    <w:p w14:paraId="706A0A45" w14:textId="77777777" w:rsidR="00941D36" w:rsidRPr="00941D36" w:rsidRDefault="00941D36" w:rsidP="00D65578">
      <w:pPr>
        <w:pStyle w:val="Textkrper-Zeileneinzug"/>
      </w:pPr>
    </w:p>
    <w:p w14:paraId="546A9D73" w14:textId="20BE64AB" w:rsidR="004D7A48" w:rsidRPr="0071541C" w:rsidRDefault="00941D36" w:rsidP="00D65578">
      <w:pPr>
        <w:pStyle w:val="berschrift3"/>
        <w:rPr>
          <w:bCs/>
        </w:rPr>
      </w:pPr>
      <w:bookmarkStart w:id="285" w:name="_Toc135811121"/>
      <w:r w:rsidRPr="0071541C">
        <w:rPr>
          <w:bCs/>
        </w:rPr>
        <w:t xml:space="preserve">Planungen für </w:t>
      </w:r>
      <w:r w:rsidR="004D7A48" w:rsidRPr="0071541C">
        <w:rPr>
          <w:bCs/>
        </w:rPr>
        <w:t>die kommenden Jahre</w:t>
      </w:r>
      <w:bookmarkEnd w:id="285"/>
    </w:p>
    <w:p w14:paraId="58D724AE" w14:textId="16A6E921" w:rsidR="00184227" w:rsidRPr="00D65578" w:rsidRDefault="00184227" w:rsidP="009215B1">
      <w:pPr>
        <w:spacing w:after="120" w:line="280" w:lineRule="atLeast"/>
        <w:rPr>
          <w:rFonts w:cs="Arial"/>
          <w:b/>
          <w:color w:val="auto"/>
        </w:rPr>
      </w:pPr>
      <w:r w:rsidRPr="00D65578">
        <w:rPr>
          <w:rFonts w:cs="Arial"/>
          <w:b/>
          <w:color w:val="auto"/>
        </w:rPr>
        <w:t>2024:</w:t>
      </w:r>
    </w:p>
    <w:p w14:paraId="15C05E5E" w14:textId="097CDD2F" w:rsidR="005A2BA4" w:rsidRPr="00184227" w:rsidRDefault="005A2BA4" w:rsidP="009215B1">
      <w:pPr>
        <w:pStyle w:val="Listenabsatz"/>
        <w:numPr>
          <w:ilvl w:val="0"/>
          <w:numId w:val="41"/>
        </w:numPr>
        <w:spacing w:after="120" w:line="280" w:lineRule="atLeast"/>
        <w:contextualSpacing w:val="0"/>
        <w:rPr>
          <w:rFonts w:cs="Arial"/>
          <w:color w:val="auto"/>
        </w:rPr>
      </w:pPr>
      <w:r>
        <w:rPr>
          <w:rFonts w:cs="Arial"/>
          <w:color w:val="auto"/>
        </w:rPr>
        <w:t>Prüfung der Möglichkeit einer Hybridheizung für Luftwärme und Erdgas</w:t>
      </w:r>
    </w:p>
    <w:p w14:paraId="730B5E11" w14:textId="35694567" w:rsidR="00184227" w:rsidRPr="00C570CF" w:rsidRDefault="00C570CF" w:rsidP="00F822C3">
      <w:pPr>
        <w:spacing w:before="240" w:after="120" w:line="280" w:lineRule="atLeast"/>
        <w:rPr>
          <w:rFonts w:cs="Arial"/>
          <w:b/>
          <w:bCs/>
          <w:color w:val="auto"/>
        </w:rPr>
      </w:pPr>
      <w:r w:rsidRPr="00C570CF">
        <w:rPr>
          <w:rFonts w:cs="Arial"/>
          <w:b/>
          <w:bCs/>
          <w:color w:val="auto"/>
        </w:rPr>
        <w:t>Zielsetzung zum 31.12.2025</w:t>
      </w:r>
      <w:r w:rsidR="00184227" w:rsidRPr="00C570CF">
        <w:rPr>
          <w:rFonts w:cs="Arial"/>
          <w:b/>
          <w:bCs/>
          <w:color w:val="auto"/>
        </w:rPr>
        <w:t xml:space="preserve"> </w:t>
      </w:r>
    </w:p>
    <w:p w14:paraId="2BCBFC67" w14:textId="419EACFB" w:rsidR="00184227" w:rsidRPr="00184227" w:rsidRDefault="00184227" w:rsidP="009215B1">
      <w:pPr>
        <w:pStyle w:val="Listenabsatz"/>
        <w:numPr>
          <w:ilvl w:val="0"/>
          <w:numId w:val="41"/>
        </w:numPr>
        <w:spacing w:after="120" w:line="280" w:lineRule="atLeast"/>
        <w:contextualSpacing w:val="0"/>
        <w:rPr>
          <w:rFonts w:cs="Arial"/>
          <w:color w:val="auto"/>
        </w:rPr>
      </w:pPr>
      <w:r w:rsidRPr="00184227">
        <w:rPr>
          <w:rFonts w:cs="Arial"/>
          <w:color w:val="auto"/>
        </w:rPr>
        <w:t>Trotz steigender E-Mobilität 15% weniger Strom verbrauchen</w:t>
      </w:r>
    </w:p>
    <w:p w14:paraId="7F5EF605" w14:textId="4674C85A" w:rsidR="00184227" w:rsidRPr="00184227" w:rsidRDefault="00184227" w:rsidP="009215B1">
      <w:pPr>
        <w:pStyle w:val="Listenabsatz"/>
        <w:numPr>
          <w:ilvl w:val="0"/>
          <w:numId w:val="41"/>
        </w:numPr>
        <w:spacing w:after="120" w:line="280" w:lineRule="atLeast"/>
        <w:contextualSpacing w:val="0"/>
        <w:rPr>
          <w:rFonts w:cs="Arial"/>
          <w:color w:val="auto"/>
        </w:rPr>
      </w:pPr>
      <w:r w:rsidRPr="00184227">
        <w:rPr>
          <w:rFonts w:cs="Arial"/>
          <w:color w:val="auto"/>
        </w:rPr>
        <w:t xml:space="preserve">25% mehr E-Mobilität </w:t>
      </w:r>
      <w:r w:rsidR="0038683B">
        <w:rPr>
          <w:rFonts w:cs="Arial"/>
          <w:color w:val="auto"/>
        </w:rPr>
        <w:t xml:space="preserve">regional </w:t>
      </w:r>
      <w:r w:rsidRPr="00184227">
        <w:rPr>
          <w:rFonts w:cs="Arial"/>
          <w:color w:val="auto"/>
        </w:rPr>
        <w:t>mit KDE-Fuhrpark realisieren</w:t>
      </w:r>
    </w:p>
    <w:p w14:paraId="2574ED80" w14:textId="0F6C6774" w:rsidR="00C570CF" w:rsidRDefault="00184227" w:rsidP="008B3D4A">
      <w:pPr>
        <w:pStyle w:val="Listenabsatz"/>
        <w:numPr>
          <w:ilvl w:val="0"/>
          <w:numId w:val="41"/>
        </w:numPr>
        <w:spacing w:after="120" w:line="280" w:lineRule="atLeast"/>
        <w:contextualSpacing w:val="0"/>
        <w:jc w:val="left"/>
      </w:pPr>
      <w:r w:rsidRPr="007E1997">
        <w:rPr>
          <w:rFonts w:cs="Arial"/>
          <w:color w:val="auto"/>
        </w:rPr>
        <w:t xml:space="preserve">Alle Kunden auf den Service Fair &amp; Green umstellen. </w:t>
      </w:r>
      <w:bookmarkStart w:id="286" w:name="_Toc73110778"/>
    </w:p>
    <w:p w14:paraId="38609D5E" w14:textId="581B8612" w:rsidR="007142AD" w:rsidRPr="00044967" w:rsidRDefault="00044967" w:rsidP="009215B1">
      <w:pPr>
        <w:pStyle w:val="berschrift2"/>
        <w:spacing w:line="280" w:lineRule="atLeast"/>
        <w:rPr>
          <w:sz w:val="22"/>
          <w:szCs w:val="22"/>
        </w:rPr>
      </w:pPr>
      <w:bookmarkStart w:id="287" w:name="_Toc134728375"/>
      <w:bookmarkStart w:id="288" w:name="_Toc135811122"/>
      <w:bookmarkEnd w:id="287"/>
      <w:r>
        <w:rPr>
          <w:sz w:val="22"/>
          <w:szCs w:val="22"/>
        </w:rPr>
        <w:t>Kompensationszertifikate und Klimaneutralität</w:t>
      </w:r>
      <w:bookmarkEnd w:id="286"/>
      <w:bookmarkEnd w:id="288"/>
    </w:p>
    <w:p w14:paraId="6167F43B" w14:textId="4A83556E" w:rsidR="00754FCE" w:rsidRDefault="00754FCE" w:rsidP="009215B1">
      <w:pPr>
        <w:spacing w:line="280" w:lineRule="atLeast"/>
        <w:rPr>
          <w:rFonts w:cs="Arial"/>
          <w:color w:val="auto"/>
        </w:rPr>
      </w:pPr>
      <w:r>
        <w:rPr>
          <w:rFonts w:cs="Arial"/>
          <w:color w:val="auto"/>
        </w:rPr>
        <w:t>Die aktuell nicht verm</w:t>
      </w:r>
      <w:r w:rsidR="00FC30F2">
        <w:rPr>
          <w:rFonts w:cs="Arial"/>
          <w:color w:val="auto"/>
        </w:rPr>
        <w:t>iedenen</w:t>
      </w:r>
      <w:r>
        <w:rPr>
          <w:rFonts w:cs="Arial"/>
          <w:color w:val="auto"/>
        </w:rPr>
        <w:t xml:space="preserve"> Treibhausgasemissionen der KDE in Scope 1, 2 und 3 im Berichtsjahr 2022 werden über Zertifikate kompensiert. </w:t>
      </w:r>
    </w:p>
    <w:p w14:paraId="685E9BF2" w14:textId="7124CFE8" w:rsidR="00754FCE" w:rsidRDefault="00754FCE" w:rsidP="009215B1">
      <w:pPr>
        <w:spacing w:line="280" w:lineRule="atLeast"/>
        <w:rPr>
          <w:rFonts w:cs="Arial"/>
          <w:color w:val="auto"/>
        </w:rPr>
      </w:pPr>
    </w:p>
    <w:p w14:paraId="5D9A0347" w14:textId="4A5EF9C5" w:rsidR="00754FCE" w:rsidRPr="00F822C3" w:rsidRDefault="00FC30F2" w:rsidP="009215B1">
      <w:pPr>
        <w:spacing w:line="280" w:lineRule="atLeast"/>
        <w:rPr>
          <w:rFonts w:ascii="Lato Light" w:hAnsi="Lato Light" w:cs="Calibri"/>
          <w:b/>
          <w:bCs/>
          <w:color w:val="000000"/>
        </w:rPr>
      </w:pPr>
      <w:r>
        <w:rPr>
          <w:rFonts w:cs="Arial"/>
          <w:color w:val="auto"/>
        </w:rPr>
        <w:t>Die K</w:t>
      </w:r>
      <w:r w:rsidR="003478A4">
        <w:rPr>
          <w:rFonts w:cs="Arial"/>
          <w:color w:val="auto"/>
        </w:rPr>
        <w:t>ompensationsmenge beträgt in 2022</w:t>
      </w:r>
      <w:r w:rsidR="00F04996">
        <w:rPr>
          <w:rFonts w:cs="Arial"/>
          <w:color w:val="auto"/>
        </w:rPr>
        <w:t xml:space="preserve"> insgesamt </w:t>
      </w:r>
      <w:r w:rsidR="00F04996" w:rsidRPr="00F04996">
        <w:rPr>
          <w:rFonts w:cs="Arial"/>
          <w:color w:val="auto"/>
        </w:rPr>
        <w:t>1.265.997</w:t>
      </w:r>
      <w:r w:rsidR="00F04996">
        <w:rPr>
          <w:rFonts w:cs="Arial"/>
          <w:color w:val="auto"/>
        </w:rPr>
        <w:t>kg CO</w:t>
      </w:r>
      <w:r w:rsidR="00F04996" w:rsidRPr="002C55E9">
        <w:rPr>
          <w:rFonts w:cs="Arial"/>
          <w:color w:val="auto"/>
          <w:vertAlign w:val="subscript"/>
        </w:rPr>
        <w:t>2</w:t>
      </w:r>
      <w:r w:rsidR="00F04996">
        <w:rPr>
          <w:rFonts w:cs="Arial"/>
          <w:color w:val="auto"/>
        </w:rPr>
        <w:t xml:space="preserve">e davon werden </w:t>
      </w:r>
      <w:r w:rsidR="003478A4" w:rsidRPr="003478A4">
        <w:rPr>
          <w:rFonts w:cs="Arial"/>
          <w:color w:val="auto"/>
        </w:rPr>
        <w:t>7.629</w:t>
      </w:r>
      <w:r w:rsidR="003478A4">
        <w:rPr>
          <w:rFonts w:cs="Arial"/>
          <w:color w:val="auto"/>
        </w:rPr>
        <w:t xml:space="preserve"> kg CO</w:t>
      </w:r>
      <w:r w:rsidR="003478A4" w:rsidRPr="00F822C3">
        <w:rPr>
          <w:rFonts w:cs="Arial"/>
          <w:color w:val="auto"/>
          <w:vertAlign w:val="subscript"/>
        </w:rPr>
        <w:t>2</w:t>
      </w:r>
      <w:r w:rsidR="003478A4">
        <w:rPr>
          <w:rFonts w:cs="Arial"/>
          <w:color w:val="auto"/>
        </w:rPr>
        <w:t>e</w:t>
      </w:r>
      <w:r w:rsidR="00F04996">
        <w:rPr>
          <w:rFonts w:cs="Arial"/>
          <w:color w:val="auto"/>
        </w:rPr>
        <w:t xml:space="preserve"> mit dem Kauf von bereits kompensiertem Ökogas umgesetzt und die verbleibenden </w:t>
      </w:r>
      <w:r w:rsidR="00F04996" w:rsidRPr="00F04996">
        <w:rPr>
          <w:rFonts w:ascii="Lato Light" w:hAnsi="Lato Light" w:cs="Calibri"/>
          <w:b/>
          <w:bCs/>
          <w:color w:val="000000"/>
        </w:rPr>
        <w:t>1.258.368</w:t>
      </w:r>
      <w:r w:rsidR="00F04996">
        <w:rPr>
          <w:rFonts w:ascii="Lato Light" w:hAnsi="Lato Light" w:cs="Calibri"/>
          <w:b/>
          <w:bCs/>
          <w:color w:val="000000"/>
        </w:rPr>
        <w:t xml:space="preserve"> </w:t>
      </w:r>
      <w:r w:rsidR="00F04996">
        <w:rPr>
          <w:rFonts w:cs="Arial"/>
          <w:color w:val="auto"/>
        </w:rPr>
        <w:t>kg CO</w:t>
      </w:r>
      <w:r w:rsidR="00F04996" w:rsidRPr="002C55E9">
        <w:rPr>
          <w:rFonts w:cs="Arial"/>
          <w:color w:val="auto"/>
          <w:vertAlign w:val="subscript"/>
        </w:rPr>
        <w:t>2</w:t>
      </w:r>
      <w:r w:rsidR="00F04996">
        <w:rPr>
          <w:rFonts w:cs="Arial"/>
          <w:color w:val="auto"/>
        </w:rPr>
        <w:t xml:space="preserve">e durch die Kompensation mit dem Verein PrimaKlima e.V.  </w:t>
      </w:r>
    </w:p>
    <w:p w14:paraId="60EE3F09" w14:textId="6B006128" w:rsidR="00754FCE" w:rsidRDefault="00754FCE" w:rsidP="009215B1">
      <w:pPr>
        <w:spacing w:line="280" w:lineRule="atLeast"/>
        <w:rPr>
          <w:rFonts w:cs="Arial"/>
          <w:color w:val="auto"/>
        </w:rPr>
      </w:pPr>
    </w:p>
    <w:p w14:paraId="2CD2CBFE" w14:textId="30A60BA8" w:rsidR="00162D34" w:rsidRPr="00162D34" w:rsidRDefault="00162D34" w:rsidP="009215B1">
      <w:pPr>
        <w:spacing w:line="280" w:lineRule="atLeast"/>
        <w:rPr>
          <w:rFonts w:cs="Arial"/>
          <w:color w:val="auto"/>
        </w:rPr>
      </w:pPr>
      <w:r w:rsidRPr="00162D34">
        <w:rPr>
          <w:rFonts w:cs="Arial"/>
          <w:color w:val="auto"/>
        </w:rPr>
        <w:t>Die Kompensation erfolgte über PRIMAKLIMA e.V. in ein</w:t>
      </w:r>
      <w:r w:rsidR="00FC30F2">
        <w:rPr>
          <w:rFonts w:cs="Arial"/>
          <w:color w:val="auto"/>
        </w:rPr>
        <w:t>em</w:t>
      </w:r>
      <w:r w:rsidRPr="00162D34">
        <w:rPr>
          <w:rFonts w:cs="Arial"/>
          <w:color w:val="auto"/>
        </w:rPr>
        <w:t xml:space="preserve"> Klimaschutzprojekt</w:t>
      </w:r>
      <w:r w:rsidR="00F822C3">
        <w:rPr>
          <w:rFonts w:cs="Arial"/>
          <w:color w:val="auto"/>
        </w:rPr>
        <w:t>.</w:t>
      </w:r>
      <w:r>
        <w:rPr>
          <w:rFonts w:cs="Arial"/>
          <w:color w:val="auto"/>
        </w:rPr>
        <w:t xml:space="preserve"> Details zu d</w:t>
      </w:r>
      <w:r w:rsidR="00F822C3">
        <w:rPr>
          <w:rFonts w:cs="Arial"/>
          <w:color w:val="auto"/>
        </w:rPr>
        <w:t>ies</w:t>
      </w:r>
      <w:r>
        <w:rPr>
          <w:rFonts w:cs="Arial"/>
          <w:color w:val="auto"/>
        </w:rPr>
        <w:t>em Projekt finden sich auf der KDE-Website www.kde-kurier.de.</w:t>
      </w:r>
    </w:p>
    <w:p w14:paraId="6E058E48" w14:textId="78A59AA3" w:rsidR="00162D34" w:rsidRDefault="008E523D" w:rsidP="009215B1">
      <w:pPr>
        <w:spacing w:line="280" w:lineRule="atLeast"/>
        <w:rPr>
          <w:rFonts w:cs="Arial"/>
          <w:color w:val="FF0000"/>
        </w:rPr>
      </w:pPr>
      <w:r>
        <w:rPr>
          <w:noProof/>
        </w:rPr>
        <w:drawing>
          <wp:anchor distT="0" distB="0" distL="114300" distR="114300" simplePos="0" relativeHeight="251661312" behindDoc="0" locked="0" layoutInCell="1" allowOverlap="1" wp14:anchorId="66183F75" wp14:editId="64F247C7">
            <wp:simplePos x="0" y="0"/>
            <wp:positionH relativeFrom="margin">
              <wp:align>left</wp:align>
            </wp:positionH>
            <wp:positionV relativeFrom="paragraph">
              <wp:posOffset>102235</wp:posOffset>
            </wp:positionV>
            <wp:extent cx="2419350" cy="108799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087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355CA" w14:textId="4328C0B3" w:rsidR="00162D34" w:rsidRDefault="00FC30F2" w:rsidP="009215B1">
      <w:pPr>
        <w:spacing w:line="280" w:lineRule="atLeast"/>
        <w:rPr>
          <w:rFonts w:cs="Arial"/>
          <w:color w:val="FF0000"/>
        </w:rPr>
      </w:pPr>
      <w:r>
        <w:rPr>
          <w:noProof/>
        </w:rPr>
        <w:drawing>
          <wp:anchor distT="0" distB="0" distL="114300" distR="114300" simplePos="0" relativeHeight="251666432" behindDoc="0" locked="0" layoutInCell="1" allowOverlap="1" wp14:anchorId="23DA3DE6" wp14:editId="06E05FCA">
            <wp:simplePos x="0" y="0"/>
            <wp:positionH relativeFrom="column">
              <wp:posOffset>3444240</wp:posOffset>
            </wp:positionH>
            <wp:positionV relativeFrom="paragraph">
              <wp:posOffset>94615</wp:posOffset>
            </wp:positionV>
            <wp:extent cx="666750" cy="666750"/>
            <wp:effectExtent l="0" t="0" r="0" b="0"/>
            <wp:wrapNone/>
            <wp:docPr id="2" name="Grafik 2" descr="C:\Users\Barbara\AppData\Local\Microsoft\Windows\INetCache\Content.Word\QR-Code Fair and Gree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Content.Word\QR-Code Fair and Green Websit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E6743" w14:textId="7540BC57" w:rsidR="00AF7D7A" w:rsidRPr="00044967" w:rsidRDefault="00AF7D7A" w:rsidP="009215B1">
      <w:pPr>
        <w:spacing w:line="280" w:lineRule="atLeast"/>
        <w:rPr>
          <w:rFonts w:cs="Arial"/>
          <w:color w:val="FF0000"/>
        </w:rPr>
      </w:pPr>
    </w:p>
    <w:p w14:paraId="5445F701" w14:textId="77777777" w:rsidR="003C14C5" w:rsidRDefault="003C14C5" w:rsidP="009215B1">
      <w:pPr>
        <w:spacing w:line="280" w:lineRule="atLeast"/>
        <w:jc w:val="left"/>
      </w:pPr>
      <w:bookmarkStart w:id="289" w:name="_Toc73110779"/>
    </w:p>
    <w:p w14:paraId="7D67C3B3" w14:textId="77777777" w:rsidR="003C14C5" w:rsidRDefault="003C14C5" w:rsidP="009215B1">
      <w:pPr>
        <w:spacing w:line="280" w:lineRule="atLeast"/>
        <w:jc w:val="left"/>
      </w:pPr>
    </w:p>
    <w:p w14:paraId="0D2EBBE6" w14:textId="31812AEB" w:rsidR="003C14C5" w:rsidRDefault="003C14C5" w:rsidP="009215B1">
      <w:pPr>
        <w:spacing w:line="280" w:lineRule="atLeast"/>
        <w:jc w:val="left"/>
      </w:pPr>
    </w:p>
    <w:p w14:paraId="5AFD54F2" w14:textId="50068190" w:rsidR="00973942" w:rsidRPr="00044967" w:rsidRDefault="00020EF4" w:rsidP="002422AE">
      <w:pPr>
        <w:pStyle w:val="berschrift1"/>
      </w:pPr>
      <w:bookmarkStart w:id="290" w:name="_Toc135811123"/>
      <w:r w:rsidRPr="00044967">
        <w:t>Kontak</w:t>
      </w:r>
      <w:r w:rsidR="00973942" w:rsidRPr="00044967">
        <w:t>t</w:t>
      </w:r>
      <w:bookmarkEnd w:id="289"/>
      <w:bookmarkEnd w:id="290"/>
    </w:p>
    <w:p w14:paraId="23CDAF15" w14:textId="60713FC8" w:rsidR="00FB7B3C" w:rsidRPr="00F41A0B" w:rsidRDefault="00F41A0B" w:rsidP="009215B1">
      <w:pPr>
        <w:spacing w:line="280" w:lineRule="atLeast"/>
        <w:rPr>
          <w:rFonts w:cs="Arial"/>
          <w:color w:val="auto"/>
        </w:rPr>
      </w:pPr>
      <w:r w:rsidRPr="00F41A0B">
        <w:rPr>
          <w:rFonts w:cs="Arial"/>
          <w:color w:val="auto"/>
        </w:rPr>
        <w:t xml:space="preserve">Für nähere Informationen </w:t>
      </w:r>
      <w:r w:rsidR="00162D34">
        <w:rPr>
          <w:rFonts w:cs="Arial"/>
          <w:color w:val="auto"/>
        </w:rPr>
        <w:t xml:space="preserve">zur Klimabilanz </w:t>
      </w:r>
      <w:r w:rsidRPr="00F41A0B">
        <w:rPr>
          <w:rFonts w:cs="Arial"/>
          <w:color w:val="auto"/>
        </w:rPr>
        <w:t>wenden Sie sich gerne an:</w:t>
      </w:r>
    </w:p>
    <w:p w14:paraId="1588C2E5" w14:textId="27BFAC6C" w:rsidR="00F41A0B" w:rsidRPr="00F41A0B" w:rsidRDefault="00F41A0B" w:rsidP="009215B1">
      <w:pPr>
        <w:spacing w:line="280" w:lineRule="atLeast"/>
        <w:rPr>
          <w:rFonts w:cs="Arial"/>
          <w:color w:val="auto"/>
        </w:rPr>
      </w:pPr>
      <w:r w:rsidRPr="00F41A0B">
        <w:rPr>
          <w:rFonts w:cs="Arial"/>
          <w:color w:val="auto"/>
        </w:rPr>
        <w:t xml:space="preserve">Barbara von Alvensleben, </w:t>
      </w:r>
      <w:hyperlink r:id="rId24" w:history="1">
        <w:r w:rsidRPr="00F41A0B">
          <w:rPr>
            <w:rStyle w:val="Hyperlink"/>
            <w:rFonts w:ascii="Arial" w:hAnsi="Arial" w:cs="Arial"/>
            <w:color w:val="auto"/>
            <w:sz w:val="22"/>
          </w:rPr>
          <w:t>barbara.vonalvensleben@kde-kurier.de</w:t>
        </w:r>
      </w:hyperlink>
    </w:p>
    <w:p w14:paraId="11275732" w14:textId="30580AE4" w:rsidR="00F41A0B" w:rsidRDefault="00F41A0B" w:rsidP="009215B1">
      <w:pPr>
        <w:spacing w:line="280" w:lineRule="atLeast"/>
        <w:rPr>
          <w:rFonts w:cs="Arial"/>
          <w:color w:val="auto"/>
        </w:rPr>
      </w:pPr>
    </w:p>
    <w:p w14:paraId="5CFC2655" w14:textId="77777777" w:rsidR="00162D34" w:rsidRDefault="00162D34" w:rsidP="009215B1">
      <w:pPr>
        <w:spacing w:line="280" w:lineRule="atLeast"/>
        <w:rPr>
          <w:rFonts w:cs="Arial"/>
          <w:color w:val="auto"/>
        </w:rPr>
      </w:pPr>
      <w:r>
        <w:rPr>
          <w:rFonts w:cs="Arial"/>
          <w:color w:val="auto"/>
        </w:rPr>
        <w:t xml:space="preserve">Weitere Informationen zu KDE finden Sie über die Website </w:t>
      </w:r>
    </w:p>
    <w:p w14:paraId="505764B8" w14:textId="77777777" w:rsidR="00162D34" w:rsidRPr="00162D34" w:rsidRDefault="004C77B6" w:rsidP="009215B1">
      <w:pPr>
        <w:spacing w:line="280" w:lineRule="atLeast"/>
        <w:rPr>
          <w:rFonts w:cs="Arial"/>
          <w:color w:val="auto"/>
        </w:rPr>
      </w:pPr>
      <w:hyperlink r:id="rId25" w:history="1">
        <w:r w:rsidR="00162D34" w:rsidRPr="00162D34">
          <w:rPr>
            <w:rStyle w:val="Hyperlink"/>
            <w:rFonts w:ascii="Arial" w:hAnsi="Arial" w:cs="Arial"/>
            <w:color w:val="auto"/>
            <w:sz w:val="22"/>
          </w:rPr>
          <w:t>www.kde-kurier.de</w:t>
        </w:r>
      </w:hyperlink>
    </w:p>
    <w:p w14:paraId="43BFB884" w14:textId="77777777" w:rsidR="00162D34" w:rsidRDefault="00162D34" w:rsidP="009215B1">
      <w:pPr>
        <w:spacing w:line="280" w:lineRule="atLeast"/>
        <w:rPr>
          <w:rFonts w:cs="Arial"/>
          <w:color w:val="auto"/>
        </w:rPr>
      </w:pPr>
    </w:p>
    <w:p w14:paraId="3CA69057" w14:textId="13EAEE8E" w:rsidR="00162D34" w:rsidRDefault="00D43E04" w:rsidP="009215B1">
      <w:pPr>
        <w:spacing w:line="280" w:lineRule="atLeast"/>
        <w:rPr>
          <w:rFonts w:cs="Arial"/>
          <w:color w:val="auto"/>
        </w:rPr>
      </w:pPr>
      <w:r>
        <w:rPr>
          <w:rFonts w:cs="Arial"/>
          <w:color w:val="auto"/>
        </w:rPr>
        <w:t>KDE Geschäftsleitung:</w:t>
      </w:r>
    </w:p>
    <w:p w14:paraId="78A6F92E" w14:textId="77777777" w:rsidR="00D43E04" w:rsidRDefault="00D43E04" w:rsidP="009215B1">
      <w:pPr>
        <w:spacing w:line="280" w:lineRule="atLeast"/>
        <w:rPr>
          <w:rFonts w:cs="Arial"/>
          <w:color w:val="auto"/>
        </w:rPr>
      </w:pPr>
    </w:p>
    <w:p w14:paraId="4EE7FB4C" w14:textId="5203D8F4" w:rsidR="00D43E04" w:rsidRDefault="00D43E04" w:rsidP="009215B1">
      <w:pPr>
        <w:spacing w:line="280" w:lineRule="atLeast"/>
        <w:rPr>
          <w:rFonts w:cs="Arial"/>
          <w:color w:val="auto"/>
        </w:rPr>
      </w:pPr>
      <w:r>
        <w:rPr>
          <w:rFonts w:cs="Arial"/>
          <w:color w:val="auto"/>
        </w:rPr>
        <w:t>Busso von Alvensleben, Gesellschafter-Geschäftsführer,</w:t>
      </w:r>
    </w:p>
    <w:p w14:paraId="36CE77F5" w14:textId="421230D4" w:rsidR="00D43E04" w:rsidRDefault="00D43E04" w:rsidP="009215B1">
      <w:pPr>
        <w:spacing w:line="280" w:lineRule="atLeast"/>
        <w:rPr>
          <w:rFonts w:cs="Arial"/>
          <w:color w:val="auto"/>
        </w:rPr>
      </w:pPr>
      <w:r>
        <w:rPr>
          <w:rFonts w:cs="Arial"/>
          <w:color w:val="auto"/>
        </w:rPr>
        <w:t>busso.vonalvensleben@kde-kurier.de</w:t>
      </w:r>
    </w:p>
    <w:p w14:paraId="0B9AF05D" w14:textId="77777777" w:rsidR="00D43E04" w:rsidRDefault="00D43E04" w:rsidP="009215B1">
      <w:pPr>
        <w:spacing w:line="280" w:lineRule="atLeast"/>
        <w:rPr>
          <w:rFonts w:cs="Arial"/>
          <w:color w:val="auto"/>
        </w:rPr>
      </w:pPr>
    </w:p>
    <w:p w14:paraId="4AD820DB" w14:textId="2951DED3" w:rsidR="00162D34" w:rsidRDefault="00D43E04" w:rsidP="009215B1">
      <w:pPr>
        <w:spacing w:line="280" w:lineRule="atLeast"/>
        <w:rPr>
          <w:rFonts w:cs="Arial"/>
          <w:color w:val="auto"/>
        </w:rPr>
      </w:pPr>
      <w:r>
        <w:rPr>
          <w:rFonts w:cs="Arial"/>
          <w:color w:val="auto"/>
        </w:rPr>
        <w:t>Philip Jacobi, Geschäftsleiter,</w:t>
      </w:r>
    </w:p>
    <w:p w14:paraId="3D9F5314" w14:textId="3E137300" w:rsidR="00D43E04" w:rsidRDefault="00D43E04" w:rsidP="007A6357">
      <w:pPr>
        <w:rPr>
          <w:rFonts w:cs="Arial"/>
          <w:color w:val="auto"/>
        </w:rPr>
      </w:pPr>
      <w:r>
        <w:rPr>
          <w:rFonts w:cs="Arial"/>
          <w:color w:val="auto"/>
        </w:rPr>
        <w:t>philip.jacobi@kde-kurier.de</w:t>
      </w:r>
    </w:p>
    <w:sectPr w:rsidR="00D43E04" w:rsidSect="00D65578">
      <w:pgSz w:w="11899" w:h="16838"/>
      <w:pgMar w:top="2268" w:right="1418" w:bottom="11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55DAF" w14:textId="77777777" w:rsidR="00C26235" w:rsidRDefault="00C26235" w:rsidP="00E44BDF">
      <w:r>
        <w:separator/>
      </w:r>
    </w:p>
  </w:endnote>
  <w:endnote w:type="continuationSeparator" w:id="0">
    <w:p w14:paraId="4B91B721" w14:textId="77777777" w:rsidR="00C26235" w:rsidRDefault="00C26235" w:rsidP="00E4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7C26" w14:textId="0E05636F" w:rsidR="00E83B17" w:rsidRDefault="00E83B17" w:rsidP="00E44BDF">
    <w:pPr>
      <w:pStyle w:val="Fuzeile"/>
      <w:tabs>
        <w:tab w:val="clear" w:pos="8306"/>
        <w:tab w:val="left" w:pos="0"/>
        <w:tab w:val="right" w:pos="8364"/>
      </w:tabs>
    </w:pPr>
    <w:r>
      <w:tab/>
    </w:r>
    <w:r>
      <w:rPr>
        <w:rStyle w:val="Seitenzahl"/>
      </w:rPr>
      <w:fldChar w:fldCharType="begin"/>
    </w:r>
    <w:r>
      <w:rPr>
        <w:rStyle w:val="Seitenzahl"/>
      </w:rPr>
      <w:instrText xml:space="preserve"> PAGE </w:instrText>
    </w:r>
    <w:r>
      <w:rPr>
        <w:rStyle w:val="Seitenzahl"/>
      </w:rPr>
      <w:fldChar w:fldCharType="separate"/>
    </w:r>
    <w:r w:rsidR="004C77B6">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5C7F" w14:textId="77777777" w:rsidR="00C26235" w:rsidRDefault="00C26235" w:rsidP="00E44BDF">
      <w:r>
        <w:separator/>
      </w:r>
    </w:p>
  </w:footnote>
  <w:footnote w:type="continuationSeparator" w:id="0">
    <w:p w14:paraId="6587E54C" w14:textId="77777777" w:rsidR="00C26235" w:rsidRDefault="00C26235" w:rsidP="00E4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5ED" w14:textId="41AC0A62" w:rsidR="00E83B17" w:rsidRDefault="00E83B17">
    <w:r>
      <w:rPr>
        <w:rFonts w:cs="Arial"/>
        <w:noProof/>
        <w:sz w:val="40"/>
        <w:szCs w:val="40"/>
      </w:rPr>
      <w:drawing>
        <wp:anchor distT="0" distB="0" distL="114300" distR="114300" simplePos="0" relativeHeight="251659264" behindDoc="0" locked="0" layoutInCell="1" allowOverlap="1" wp14:anchorId="252FA5D3" wp14:editId="23D1959C">
          <wp:simplePos x="0" y="0"/>
          <wp:positionH relativeFrom="margin">
            <wp:posOffset>4024630</wp:posOffset>
          </wp:positionH>
          <wp:positionV relativeFrom="paragraph">
            <wp:posOffset>11430</wp:posOffset>
          </wp:positionV>
          <wp:extent cx="1409700" cy="843915"/>
          <wp:effectExtent l="0" t="0" r="0" b="0"/>
          <wp:wrapThrough wrapText="bothSides">
            <wp:wrapPolygon edited="0">
              <wp:start x="0" y="0"/>
              <wp:lineTo x="0" y="20966"/>
              <wp:lineTo x="21308" y="20966"/>
              <wp:lineTo x="21308"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409700" cy="843915"/>
                  </a:xfrm>
                  <a:prstGeom prst="rect">
                    <a:avLst/>
                  </a:prstGeom>
                </pic:spPr>
              </pic:pic>
            </a:graphicData>
          </a:graphic>
          <wp14:sizeRelH relativeFrom="page">
            <wp14:pctWidth>0</wp14:pctWidth>
          </wp14:sizeRelH>
          <wp14:sizeRelV relativeFrom="page">
            <wp14:pctHeight>0</wp14:pctHeight>
          </wp14:sizeRelV>
        </wp:anchor>
      </w:drawing>
    </w:r>
  </w:p>
  <w:p w14:paraId="55D402B0" w14:textId="270338F0" w:rsidR="00E83B17" w:rsidRDefault="00E83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96D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31A7"/>
    <w:multiLevelType w:val="multilevel"/>
    <w:tmpl w:val="8504699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0187563E"/>
    <w:multiLevelType w:val="hybridMultilevel"/>
    <w:tmpl w:val="C18CA29E"/>
    <w:lvl w:ilvl="0" w:tplc="BAFE2AEC">
      <w:start w:val="1"/>
      <w:numFmt w:val="bullet"/>
      <w:lvlText w:val=""/>
      <w:lvlJc w:val="left"/>
      <w:pPr>
        <w:ind w:left="1494" w:hanging="360"/>
      </w:pPr>
      <w:rPr>
        <w:rFonts w:ascii="Symbol" w:hAnsi="Symbol" w:hint="default"/>
        <w:color w:val="365F91" w:themeColor="accent1" w:themeShade="BF"/>
      </w:rPr>
    </w:lvl>
    <w:lvl w:ilvl="1" w:tplc="D8D60A78">
      <w:start w:val="1"/>
      <w:numFmt w:val="bullet"/>
      <w:lvlText w:val=""/>
      <w:lvlJc w:val="left"/>
      <w:pPr>
        <w:tabs>
          <w:tab w:val="num" w:pos="2291"/>
        </w:tabs>
        <w:ind w:left="2291" w:hanging="360"/>
      </w:pPr>
      <w:rPr>
        <w:rFonts w:ascii="Wingdings" w:hAnsi="Wingdings" w:hint="default"/>
        <w:color w:val="808080"/>
      </w:rPr>
    </w:lvl>
    <w:lvl w:ilvl="2" w:tplc="B4CCD302">
      <w:start w:val="1"/>
      <w:numFmt w:val="bullet"/>
      <w:lvlText w:val=""/>
      <w:lvlJc w:val="left"/>
      <w:pPr>
        <w:tabs>
          <w:tab w:val="num" w:pos="3011"/>
        </w:tabs>
        <w:ind w:left="3011" w:hanging="360"/>
      </w:pPr>
      <w:rPr>
        <w:rFonts w:ascii="Wingdings" w:hAnsi="Wingdings" w:hint="default"/>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2441A23"/>
    <w:multiLevelType w:val="hybridMultilevel"/>
    <w:tmpl w:val="BAFCD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061022"/>
    <w:multiLevelType w:val="hybridMultilevel"/>
    <w:tmpl w:val="3FA2B1A8"/>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5" w15:restartNumberingAfterBreak="0">
    <w:nsid w:val="07F45021"/>
    <w:multiLevelType w:val="hybridMultilevel"/>
    <w:tmpl w:val="7054E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B5D74"/>
    <w:multiLevelType w:val="hybridMultilevel"/>
    <w:tmpl w:val="06C4F97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11603D3B"/>
    <w:multiLevelType w:val="hybridMultilevel"/>
    <w:tmpl w:val="983C9E96"/>
    <w:lvl w:ilvl="0" w:tplc="B5109CB8">
      <w:start w:val="1"/>
      <w:numFmt w:val="bullet"/>
      <w:lvlText w:val=""/>
      <w:lvlJc w:val="left"/>
      <w:pPr>
        <w:ind w:left="1494" w:hanging="360"/>
      </w:pPr>
      <w:rPr>
        <w:rFonts w:ascii="Symbol" w:hAnsi="Symbol" w:hint="default"/>
        <w:color w:val="3366FF"/>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5C9638C"/>
    <w:multiLevelType w:val="hybridMultilevel"/>
    <w:tmpl w:val="8048CE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16A61982"/>
    <w:multiLevelType w:val="hybridMultilevel"/>
    <w:tmpl w:val="A098592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B6EE2"/>
    <w:multiLevelType w:val="hybridMultilevel"/>
    <w:tmpl w:val="27901A94"/>
    <w:lvl w:ilvl="0" w:tplc="ECCABBAC">
      <w:start w:val="1"/>
      <w:numFmt w:val="bullet"/>
      <w:lvlText w:val=""/>
      <w:lvlJc w:val="left"/>
      <w:pPr>
        <w:ind w:left="2563" w:hanging="360"/>
      </w:pPr>
      <w:rPr>
        <w:rFonts w:ascii="Symbol" w:hAnsi="Symbol" w:hint="default"/>
        <w:color w:val="365F91" w:themeColor="accent1" w:themeShade="BF"/>
      </w:rPr>
    </w:lvl>
    <w:lvl w:ilvl="1" w:tplc="04070003" w:tentative="1">
      <w:start w:val="1"/>
      <w:numFmt w:val="bullet"/>
      <w:lvlText w:val="o"/>
      <w:lvlJc w:val="left"/>
      <w:pPr>
        <w:ind w:left="3283" w:hanging="360"/>
      </w:pPr>
      <w:rPr>
        <w:rFonts w:ascii="Courier New" w:hAnsi="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1" w15:restartNumberingAfterBreak="0">
    <w:nsid w:val="1BC80FB0"/>
    <w:multiLevelType w:val="hybridMultilevel"/>
    <w:tmpl w:val="BB54340C"/>
    <w:lvl w:ilvl="0" w:tplc="97E83586">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259D3C0F"/>
    <w:multiLevelType w:val="hybridMultilevel"/>
    <w:tmpl w:val="AF1C66EA"/>
    <w:lvl w:ilvl="0" w:tplc="F4E4972C">
      <w:start w:val="1"/>
      <w:numFmt w:val="bullet"/>
      <w:pStyle w:val="Auflistung2"/>
      <w:lvlText w:val=""/>
      <w:lvlJc w:val="left"/>
      <w:pPr>
        <w:tabs>
          <w:tab w:val="num" w:pos="1985"/>
        </w:tabs>
        <w:ind w:left="1985" w:hanging="284"/>
      </w:pPr>
      <w:rPr>
        <w:rFonts w:ascii="Wingdings" w:hAnsi="Wingdings" w:hint="default"/>
        <w:color w:val="808080"/>
      </w:rPr>
    </w:lvl>
    <w:lvl w:ilvl="1" w:tplc="0DEAFC2E">
      <w:start w:val="1"/>
      <w:numFmt w:val="bullet"/>
      <w:lvlText w:val=""/>
      <w:lvlJc w:val="left"/>
      <w:pPr>
        <w:tabs>
          <w:tab w:val="num" w:pos="2291"/>
        </w:tabs>
        <w:ind w:left="2291" w:hanging="760"/>
      </w:pPr>
      <w:rPr>
        <w:rFonts w:ascii="Wingdings" w:hAnsi="Wingdings" w:hint="default"/>
        <w:color w:val="808080"/>
      </w:rPr>
    </w:lvl>
    <w:lvl w:ilvl="2" w:tplc="B4CCD302">
      <w:start w:val="1"/>
      <w:numFmt w:val="bullet"/>
      <w:lvlText w:val=""/>
      <w:lvlJc w:val="left"/>
      <w:pPr>
        <w:tabs>
          <w:tab w:val="num" w:pos="3011"/>
        </w:tabs>
        <w:ind w:left="3011" w:hanging="360"/>
      </w:pPr>
      <w:rPr>
        <w:rFonts w:ascii="Wingdings" w:hAnsi="Wingdings" w:hint="default"/>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AB06616"/>
    <w:multiLevelType w:val="hybridMultilevel"/>
    <w:tmpl w:val="38F0A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7240D6"/>
    <w:multiLevelType w:val="hybridMultilevel"/>
    <w:tmpl w:val="4A949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602157"/>
    <w:multiLevelType w:val="hybridMultilevel"/>
    <w:tmpl w:val="16BED7D2"/>
    <w:lvl w:ilvl="0" w:tplc="08029DBE">
      <w:start w:val="1"/>
      <w:numFmt w:val="bullet"/>
      <w:pStyle w:val="Auflistung1"/>
      <w:lvlText w:val=""/>
      <w:lvlJc w:val="left"/>
      <w:pPr>
        <w:tabs>
          <w:tab w:val="num" w:pos="1531"/>
        </w:tabs>
        <w:ind w:left="1531" w:hanging="397"/>
      </w:pPr>
      <w:rPr>
        <w:rFonts w:ascii="Wingdings" w:hAnsi="Wingdings" w:hint="default"/>
        <w:color w:val="808080"/>
      </w:rPr>
    </w:lvl>
    <w:lvl w:ilvl="1" w:tplc="D8D60A78">
      <w:start w:val="1"/>
      <w:numFmt w:val="bullet"/>
      <w:lvlText w:val=""/>
      <w:lvlJc w:val="left"/>
      <w:pPr>
        <w:tabs>
          <w:tab w:val="num" w:pos="2291"/>
        </w:tabs>
        <w:ind w:left="2291" w:hanging="360"/>
      </w:pPr>
      <w:rPr>
        <w:rFonts w:ascii="Wingdings" w:hAnsi="Wingdings" w:hint="default"/>
        <w:color w:val="808080"/>
      </w:rPr>
    </w:lvl>
    <w:lvl w:ilvl="2" w:tplc="B4CCD302">
      <w:start w:val="1"/>
      <w:numFmt w:val="bullet"/>
      <w:lvlText w:val=""/>
      <w:lvlJc w:val="left"/>
      <w:pPr>
        <w:tabs>
          <w:tab w:val="num" w:pos="3011"/>
        </w:tabs>
        <w:ind w:left="3011" w:hanging="360"/>
      </w:pPr>
      <w:rPr>
        <w:rFonts w:ascii="Wingdings" w:hAnsi="Wingdings" w:hint="default"/>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FD11996"/>
    <w:multiLevelType w:val="hybridMultilevel"/>
    <w:tmpl w:val="A6BAB260"/>
    <w:lvl w:ilvl="0" w:tplc="9E5CD8FE">
      <w:start w:val="1"/>
      <w:numFmt w:val="bullet"/>
      <w:lvlText w:val="•"/>
      <w:lvlJc w:val="left"/>
      <w:pPr>
        <w:tabs>
          <w:tab w:val="num" w:pos="720"/>
        </w:tabs>
        <w:ind w:left="720" w:hanging="360"/>
      </w:pPr>
      <w:rPr>
        <w:rFonts w:ascii="Arial" w:hAnsi="Arial" w:hint="default"/>
      </w:rPr>
    </w:lvl>
    <w:lvl w:ilvl="1" w:tplc="48508EE0" w:tentative="1">
      <w:start w:val="1"/>
      <w:numFmt w:val="bullet"/>
      <w:lvlText w:val="•"/>
      <w:lvlJc w:val="left"/>
      <w:pPr>
        <w:tabs>
          <w:tab w:val="num" w:pos="1440"/>
        </w:tabs>
        <w:ind w:left="1440" w:hanging="360"/>
      </w:pPr>
      <w:rPr>
        <w:rFonts w:ascii="Arial" w:hAnsi="Arial" w:hint="default"/>
      </w:rPr>
    </w:lvl>
    <w:lvl w:ilvl="2" w:tplc="990CDD40" w:tentative="1">
      <w:start w:val="1"/>
      <w:numFmt w:val="bullet"/>
      <w:lvlText w:val="•"/>
      <w:lvlJc w:val="left"/>
      <w:pPr>
        <w:tabs>
          <w:tab w:val="num" w:pos="2160"/>
        </w:tabs>
        <w:ind w:left="2160" w:hanging="360"/>
      </w:pPr>
      <w:rPr>
        <w:rFonts w:ascii="Arial" w:hAnsi="Arial" w:hint="default"/>
      </w:rPr>
    </w:lvl>
    <w:lvl w:ilvl="3" w:tplc="5F825316" w:tentative="1">
      <w:start w:val="1"/>
      <w:numFmt w:val="bullet"/>
      <w:lvlText w:val="•"/>
      <w:lvlJc w:val="left"/>
      <w:pPr>
        <w:tabs>
          <w:tab w:val="num" w:pos="2880"/>
        </w:tabs>
        <w:ind w:left="2880" w:hanging="360"/>
      </w:pPr>
      <w:rPr>
        <w:rFonts w:ascii="Arial" w:hAnsi="Arial" w:hint="default"/>
      </w:rPr>
    </w:lvl>
    <w:lvl w:ilvl="4" w:tplc="FB9E6032" w:tentative="1">
      <w:start w:val="1"/>
      <w:numFmt w:val="bullet"/>
      <w:lvlText w:val="•"/>
      <w:lvlJc w:val="left"/>
      <w:pPr>
        <w:tabs>
          <w:tab w:val="num" w:pos="3600"/>
        </w:tabs>
        <w:ind w:left="3600" w:hanging="360"/>
      </w:pPr>
      <w:rPr>
        <w:rFonts w:ascii="Arial" w:hAnsi="Arial" w:hint="default"/>
      </w:rPr>
    </w:lvl>
    <w:lvl w:ilvl="5" w:tplc="F81AADD0" w:tentative="1">
      <w:start w:val="1"/>
      <w:numFmt w:val="bullet"/>
      <w:lvlText w:val="•"/>
      <w:lvlJc w:val="left"/>
      <w:pPr>
        <w:tabs>
          <w:tab w:val="num" w:pos="4320"/>
        </w:tabs>
        <w:ind w:left="4320" w:hanging="360"/>
      </w:pPr>
      <w:rPr>
        <w:rFonts w:ascii="Arial" w:hAnsi="Arial" w:hint="default"/>
      </w:rPr>
    </w:lvl>
    <w:lvl w:ilvl="6" w:tplc="9072F9FA" w:tentative="1">
      <w:start w:val="1"/>
      <w:numFmt w:val="bullet"/>
      <w:lvlText w:val="•"/>
      <w:lvlJc w:val="left"/>
      <w:pPr>
        <w:tabs>
          <w:tab w:val="num" w:pos="5040"/>
        </w:tabs>
        <w:ind w:left="5040" w:hanging="360"/>
      </w:pPr>
      <w:rPr>
        <w:rFonts w:ascii="Arial" w:hAnsi="Arial" w:hint="default"/>
      </w:rPr>
    </w:lvl>
    <w:lvl w:ilvl="7" w:tplc="998AC8D4" w:tentative="1">
      <w:start w:val="1"/>
      <w:numFmt w:val="bullet"/>
      <w:lvlText w:val="•"/>
      <w:lvlJc w:val="left"/>
      <w:pPr>
        <w:tabs>
          <w:tab w:val="num" w:pos="5760"/>
        </w:tabs>
        <w:ind w:left="5760" w:hanging="360"/>
      </w:pPr>
      <w:rPr>
        <w:rFonts w:ascii="Arial" w:hAnsi="Arial" w:hint="default"/>
      </w:rPr>
    </w:lvl>
    <w:lvl w:ilvl="8" w:tplc="0B52AB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995D5A"/>
    <w:multiLevelType w:val="hybridMultilevel"/>
    <w:tmpl w:val="2408CC8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342F343D"/>
    <w:multiLevelType w:val="hybridMultilevel"/>
    <w:tmpl w:val="982C75CA"/>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9" w15:restartNumberingAfterBreak="0">
    <w:nsid w:val="34A73108"/>
    <w:multiLevelType w:val="hybridMultilevel"/>
    <w:tmpl w:val="78B2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A11B0F"/>
    <w:multiLevelType w:val="hybridMultilevel"/>
    <w:tmpl w:val="AF282E4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3CA83043"/>
    <w:multiLevelType w:val="hybridMultilevel"/>
    <w:tmpl w:val="897268F8"/>
    <w:lvl w:ilvl="0" w:tplc="B5109CB8">
      <w:start w:val="1"/>
      <w:numFmt w:val="bullet"/>
      <w:lvlText w:val=""/>
      <w:lvlJc w:val="left"/>
      <w:pPr>
        <w:ind w:left="2923" w:hanging="360"/>
      </w:pPr>
      <w:rPr>
        <w:rFonts w:ascii="Symbol" w:hAnsi="Symbol" w:hint="default"/>
        <w:color w:val="3366FF"/>
      </w:rPr>
    </w:lvl>
    <w:lvl w:ilvl="1" w:tplc="04070003" w:tentative="1">
      <w:start w:val="1"/>
      <w:numFmt w:val="bullet"/>
      <w:lvlText w:val="o"/>
      <w:lvlJc w:val="left"/>
      <w:pPr>
        <w:ind w:left="3643" w:hanging="360"/>
      </w:pPr>
      <w:rPr>
        <w:rFonts w:ascii="Courier New" w:hAnsi="Courier New" w:hint="default"/>
      </w:rPr>
    </w:lvl>
    <w:lvl w:ilvl="2" w:tplc="04070005" w:tentative="1">
      <w:start w:val="1"/>
      <w:numFmt w:val="bullet"/>
      <w:lvlText w:val=""/>
      <w:lvlJc w:val="left"/>
      <w:pPr>
        <w:ind w:left="4363" w:hanging="360"/>
      </w:pPr>
      <w:rPr>
        <w:rFonts w:ascii="Wingdings" w:hAnsi="Wingdings" w:hint="default"/>
      </w:rPr>
    </w:lvl>
    <w:lvl w:ilvl="3" w:tplc="04070001" w:tentative="1">
      <w:start w:val="1"/>
      <w:numFmt w:val="bullet"/>
      <w:lvlText w:val=""/>
      <w:lvlJc w:val="left"/>
      <w:pPr>
        <w:ind w:left="5083" w:hanging="360"/>
      </w:pPr>
      <w:rPr>
        <w:rFonts w:ascii="Symbol" w:hAnsi="Symbol" w:hint="default"/>
      </w:rPr>
    </w:lvl>
    <w:lvl w:ilvl="4" w:tplc="04070003" w:tentative="1">
      <w:start w:val="1"/>
      <w:numFmt w:val="bullet"/>
      <w:lvlText w:val="o"/>
      <w:lvlJc w:val="left"/>
      <w:pPr>
        <w:ind w:left="5803" w:hanging="360"/>
      </w:pPr>
      <w:rPr>
        <w:rFonts w:ascii="Courier New" w:hAnsi="Courier New" w:hint="default"/>
      </w:rPr>
    </w:lvl>
    <w:lvl w:ilvl="5" w:tplc="04070005" w:tentative="1">
      <w:start w:val="1"/>
      <w:numFmt w:val="bullet"/>
      <w:lvlText w:val=""/>
      <w:lvlJc w:val="left"/>
      <w:pPr>
        <w:ind w:left="6523" w:hanging="360"/>
      </w:pPr>
      <w:rPr>
        <w:rFonts w:ascii="Wingdings" w:hAnsi="Wingdings" w:hint="default"/>
      </w:rPr>
    </w:lvl>
    <w:lvl w:ilvl="6" w:tplc="04070001" w:tentative="1">
      <w:start w:val="1"/>
      <w:numFmt w:val="bullet"/>
      <w:lvlText w:val=""/>
      <w:lvlJc w:val="left"/>
      <w:pPr>
        <w:ind w:left="7243" w:hanging="360"/>
      </w:pPr>
      <w:rPr>
        <w:rFonts w:ascii="Symbol" w:hAnsi="Symbol" w:hint="default"/>
      </w:rPr>
    </w:lvl>
    <w:lvl w:ilvl="7" w:tplc="04070003" w:tentative="1">
      <w:start w:val="1"/>
      <w:numFmt w:val="bullet"/>
      <w:lvlText w:val="o"/>
      <w:lvlJc w:val="left"/>
      <w:pPr>
        <w:ind w:left="7963" w:hanging="360"/>
      </w:pPr>
      <w:rPr>
        <w:rFonts w:ascii="Courier New" w:hAnsi="Courier New" w:hint="default"/>
      </w:rPr>
    </w:lvl>
    <w:lvl w:ilvl="8" w:tplc="04070005" w:tentative="1">
      <w:start w:val="1"/>
      <w:numFmt w:val="bullet"/>
      <w:lvlText w:val=""/>
      <w:lvlJc w:val="left"/>
      <w:pPr>
        <w:ind w:left="8683" w:hanging="360"/>
      </w:pPr>
      <w:rPr>
        <w:rFonts w:ascii="Wingdings" w:hAnsi="Wingdings" w:hint="default"/>
      </w:rPr>
    </w:lvl>
  </w:abstractNum>
  <w:abstractNum w:abstractNumId="22" w15:restartNumberingAfterBreak="0">
    <w:nsid w:val="3CEF4FF7"/>
    <w:multiLevelType w:val="hybridMultilevel"/>
    <w:tmpl w:val="D44AC828"/>
    <w:lvl w:ilvl="0" w:tplc="B5109CB8">
      <w:start w:val="1"/>
      <w:numFmt w:val="bullet"/>
      <w:lvlText w:val=""/>
      <w:lvlJc w:val="left"/>
      <w:pPr>
        <w:ind w:left="2563" w:hanging="360"/>
      </w:pPr>
      <w:rPr>
        <w:rFonts w:ascii="Symbol" w:hAnsi="Symbol" w:hint="default"/>
        <w:color w:val="3366FF"/>
      </w:rPr>
    </w:lvl>
    <w:lvl w:ilvl="1" w:tplc="04070003" w:tentative="1">
      <w:start w:val="1"/>
      <w:numFmt w:val="bullet"/>
      <w:lvlText w:val="o"/>
      <w:lvlJc w:val="left"/>
      <w:pPr>
        <w:ind w:left="3283" w:hanging="360"/>
      </w:pPr>
      <w:rPr>
        <w:rFonts w:ascii="Courier New" w:hAnsi="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3" w15:restartNumberingAfterBreak="0">
    <w:nsid w:val="408A2227"/>
    <w:multiLevelType w:val="hybridMultilevel"/>
    <w:tmpl w:val="E942178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4B693ECA"/>
    <w:multiLevelType w:val="hybridMultilevel"/>
    <w:tmpl w:val="82D47442"/>
    <w:lvl w:ilvl="0" w:tplc="B47AA022">
      <w:start w:val="1"/>
      <w:numFmt w:val="bullet"/>
      <w:pStyle w:val="Auflistung3"/>
      <w:lvlText w:val=""/>
      <w:lvlJc w:val="left"/>
      <w:pPr>
        <w:tabs>
          <w:tab w:val="num" w:pos="2325"/>
        </w:tabs>
        <w:ind w:left="2325" w:hanging="227"/>
      </w:pPr>
      <w:rPr>
        <w:rFonts w:ascii="Wingdings" w:hAnsi="Wingdings" w:hint="default"/>
        <w:color w:val="808080"/>
      </w:rPr>
    </w:lvl>
    <w:lvl w:ilvl="1" w:tplc="D8D60A78">
      <w:start w:val="1"/>
      <w:numFmt w:val="bullet"/>
      <w:lvlText w:val=""/>
      <w:lvlJc w:val="left"/>
      <w:pPr>
        <w:tabs>
          <w:tab w:val="num" w:pos="2291"/>
        </w:tabs>
        <w:ind w:left="2291" w:hanging="360"/>
      </w:pPr>
      <w:rPr>
        <w:rFonts w:ascii="Wingdings" w:hAnsi="Wingdings" w:hint="default"/>
        <w:color w:val="808080"/>
      </w:rPr>
    </w:lvl>
    <w:lvl w:ilvl="2" w:tplc="F7EA50AA">
      <w:start w:val="1"/>
      <w:numFmt w:val="bullet"/>
      <w:lvlText w:val=""/>
      <w:lvlJc w:val="left"/>
      <w:pPr>
        <w:tabs>
          <w:tab w:val="num" w:pos="2892"/>
        </w:tabs>
        <w:ind w:left="2892" w:hanging="964"/>
      </w:pPr>
      <w:rPr>
        <w:rFonts w:ascii="Wingdings" w:hAnsi="Wingdings" w:hint="default"/>
        <w:color w:val="808080"/>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EAD16B9"/>
    <w:multiLevelType w:val="hybridMultilevel"/>
    <w:tmpl w:val="D6A2C06E"/>
    <w:lvl w:ilvl="0" w:tplc="CF86F370">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86224F"/>
    <w:multiLevelType w:val="hybridMultilevel"/>
    <w:tmpl w:val="E8FEEF6E"/>
    <w:lvl w:ilvl="0" w:tplc="B5109CB8">
      <w:start w:val="1"/>
      <w:numFmt w:val="bullet"/>
      <w:lvlText w:val=""/>
      <w:lvlJc w:val="left"/>
      <w:pPr>
        <w:ind w:left="1494" w:hanging="360"/>
      </w:pPr>
      <w:rPr>
        <w:rFonts w:ascii="Symbol" w:hAnsi="Symbol" w:hint="default"/>
        <w:color w:val="3366FF"/>
      </w:rPr>
    </w:lvl>
    <w:lvl w:ilvl="1" w:tplc="D8D60A78">
      <w:start w:val="1"/>
      <w:numFmt w:val="bullet"/>
      <w:lvlText w:val=""/>
      <w:lvlJc w:val="left"/>
      <w:pPr>
        <w:tabs>
          <w:tab w:val="num" w:pos="2291"/>
        </w:tabs>
        <w:ind w:left="2291" w:hanging="360"/>
      </w:pPr>
      <w:rPr>
        <w:rFonts w:ascii="Wingdings" w:hAnsi="Wingdings" w:hint="default"/>
        <w:color w:val="808080"/>
      </w:rPr>
    </w:lvl>
    <w:lvl w:ilvl="2" w:tplc="B4CCD302">
      <w:start w:val="1"/>
      <w:numFmt w:val="bullet"/>
      <w:lvlText w:val=""/>
      <w:lvlJc w:val="left"/>
      <w:pPr>
        <w:tabs>
          <w:tab w:val="num" w:pos="3011"/>
        </w:tabs>
        <w:ind w:left="3011" w:hanging="360"/>
      </w:pPr>
      <w:rPr>
        <w:rFonts w:ascii="Wingdings" w:hAnsi="Wingdings" w:hint="default"/>
      </w:rPr>
    </w:lvl>
    <w:lvl w:ilvl="3" w:tplc="00010409" w:tentative="1">
      <w:start w:val="1"/>
      <w:numFmt w:val="bullet"/>
      <w:lvlText w:val=""/>
      <w:lvlJc w:val="left"/>
      <w:pPr>
        <w:tabs>
          <w:tab w:val="num" w:pos="3731"/>
        </w:tabs>
        <w:ind w:left="3731" w:hanging="360"/>
      </w:pPr>
      <w:rPr>
        <w:rFonts w:ascii="Symbol" w:hAnsi="Symbol" w:hint="default"/>
      </w:rPr>
    </w:lvl>
    <w:lvl w:ilvl="4" w:tplc="00030409" w:tentative="1">
      <w:start w:val="1"/>
      <w:numFmt w:val="bullet"/>
      <w:lvlText w:val="o"/>
      <w:lvlJc w:val="left"/>
      <w:pPr>
        <w:tabs>
          <w:tab w:val="num" w:pos="4451"/>
        </w:tabs>
        <w:ind w:left="4451" w:hanging="360"/>
      </w:pPr>
      <w:rPr>
        <w:rFonts w:ascii="Courier New" w:hAnsi="Courier New" w:hint="default"/>
      </w:rPr>
    </w:lvl>
    <w:lvl w:ilvl="5" w:tplc="00050409" w:tentative="1">
      <w:start w:val="1"/>
      <w:numFmt w:val="bullet"/>
      <w:lvlText w:val=""/>
      <w:lvlJc w:val="left"/>
      <w:pPr>
        <w:tabs>
          <w:tab w:val="num" w:pos="5171"/>
        </w:tabs>
        <w:ind w:left="5171" w:hanging="360"/>
      </w:pPr>
      <w:rPr>
        <w:rFonts w:ascii="Wingdings" w:hAnsi="Wingdings" w:hint="default"/>
      </w:rPr>
    </w:lvl>
    <w:lvl w:ilvl="6" w:tplc="00010409" w:tentative="1">
      <w:start w:val="1"/>
      <w:numFmt w:val="bullet"/>
      <w:lvlText w:val=""/>
      <w:lvlJc w:val="left"/>
      <w:pPr>
        <w:tabs>
          <w:tab w:val="num" w:pos="5891"/>
        </w:tabs>
        <w:ind w:left="5891" w:hanging="360"/>
      </w:pPr>
      <w:rPr>
        <w:rFonts w:ascii="Symbol" w:hAnsi="Symbol" w:hint="default"/>
      </w:rPr>
    </w:lvl>
    <w:lvl w:ilvl="7" w:tplc="00030409" w:tentative="1">
      <w:start w:val="1"/>
      <w:numFmt w:val="bullet"/>
      <w:lvlText w:val="o"/>
      <w:lvlJc w:val="left"/>
      <w:pPr>
        <w:tabs>
          <w:tab w:val="num" w:pos="6611"/>
        </w:tabs>
        <w:ind w:left="6611" w:hanging="360"/>
      </w:pPr>
      <w:rPr>
        <w:rFonts w:ascii="Courier New" w:hAnsi="Courier New" w:hint="default"/>
      </w:rPr>
    </w:lvl>
    <w:lvl w:ilvl="8" w:tplc="00050409"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5CC117DF"/>
    <w:multiLevelType w:val="hybridMultilevel"/>
    <w:tmpl w:val="10084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E15D04"/>
    <w:multiLevelType w:val="hybridMultilevel"/>
    <w:tmpl w:val="7160EEB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8A55D8"/>
    <w:multiLevelType w:val="hybridMultilevel"/>
    <w:tmpl w:val="6936C51A"/>
    <w:lvl w:ilvl="0" w:tplc="D3B09C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3562B3"/>
    <w:multiLevelType w:val="hybridMultilevel"/>
    <w:tmpl w:val="67A21D0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1" w15:restartNumberingAfterBreak="0">
    <w:nsid w:val="681C551D"/>
    <w:multiLevelType w:val="hybridMultilevel"/>
    <w:tmpl w:val="1DE8BB92"/>
    <w:lvl w:ilvl="0" w:tplc="B5109CB8">
      <w:start w:val="1"/>
      <w:numFmt w:val="bullet"/>
      <w:lvlText w:val=""/>
      <w:lvlJc w:val="left"/>
      <w:pPr>
        <w:ind w:left="2923" w:hanging="360"/>
      </w:pPr>
      <w:rPr>
        <w:rFonts w:ascii="Symbol" w:hAnsi="Symbol" w:hint="default"/>
        <w:color w:val="3366FF"/>
      </w:rPr>
    </w:lvl>
    <w:lvl w:ilvl="1" w:tplc="04070003" w:tentative="1">
      <w:start w:val="1"/>
      <w:numFmt w:val="bullet"/>
      <w:lvlText w:val="o"/>
      <w:lvlJc w:val="left"/>
      <w:pPr>
        <w:ind w:left="3643" w:hanging="360"/>
      </w:pPr>
      <w:rPr>
        <w:rFonts w:ascii="Courier New" w:hAnsi="Courier New" w:hint="default"/>
      </w:rPr>
    </w:lvl>
    <w:lvl w:ilvl="2" w:tplc="04070005" w:tentative="1">
      <w:start w:val="1"/>
      <w:numFmt w:val="bullet"/>
      <w:lvlText w:val=""/>
      <w:lvlJc w:val="left"/>
      <w:pPr>
        <w:ind w:left="4363" w:hanging="360"/>
      </w:pPr>
      <w:rPr>
        <w:rFonts w:ascii="Wingdings" w:hAnsi="Wingdings" w:hint="default"/>
      </w:rPr>
    </w:lvl>
    <w:lvl w:ilvl="3" w:tplc="04070001" w:tentative="1">
      <w:start w:val="1"/>
      <w:numFmt w:val="bullet"/>
      <w:lvlText w:val=""/>
      <w:lvlJc w:val="left"/>
      <w:pPr>
        <w:ind w:left="5083" w:hanging="360"/>
      </w:pPr>
      <w:rPr>
        <w:rFonts w:ascii="Symbol" w:hAnsi="Symbol" w:hint="default"/>
      </w:rPr>
    </w:lvl>
    <w:lvl w:ilvl="4" w:tplc="04070003" w:tentative="1">
      <w:start w:val="1"/>
      <w:numFmt w:val="bullet"/>
      <w:lvlText w:val="o"/>
      <w:lvlJc w:val="left"/>
      <w:pPr>
        <w:ind w:left="5803" w:hanging="360"/>
      </w:pPr>
      <w:rPr>
        <w:rFonts w:ascii="Courier New" w:hAnsi="Courier New" w:hint="default"/>
      </w:rPr>
    </w:lvl>
    <w:lvl w:ilvl="5" w:tplc="04070005" w:tentative="1">
      <w:start w:val="1"/>
      <w:numFmt w:val="bullet"/>
      <w:lvlText w:val=""/>
      <w:lvlJc w:val="left"/>
      <w:pPr>
        <w:ind w:left="6523" w:hanging="360"/>
      </w:pPr>
      <w:rPr>
        <w:rFonts w:ascii="Wingdings" w:hAnsi="Wingdings" w:hint="default"/>
      </w:rPr>
    </w:lvl>
    <w:lvl w:ilvl="6" w:tplc="04070001" w:tentative="1">
      <w:start w:val="1"/>
      <w:numFmt w:val="bullet"/>
      <w:lvlText w:val=""/>
      <w:lvlJc w:val="left"/>
      <w:pPr>
        <w:ind w:left="7243" w:hanging="360"/>
      </w:pPr>
      <w:rPr>
        <w:rFonts w:ascii="Symbol" w:hAnsi="Symbol" w:hint="default"/>
      </w:rPr>
    </w:lvl>
    <w:lvl w:ilvl="7" w:tplc="04070003" w:tentative="1">
      <w:start w:val="1"/>
      <w:numFmt w:val="bullet"/>
      <w:lvlText w:val="o"/>
      <w:lvlJc w:val="left"/>
      <w:pPr>
        <w:ind w:left="7963" w:hanging="360"/>
      </w:pPr>
      <w:rPr>
        <w:rFonts w:ascii="Courier New" w:hAnsi="Courier New" w:hint="default"/>
      </w:rPr>
    </w:lvl>
    <w:lvl w:ilvl="8" w:tplc="04070005" w:tentative="1">
      <w:start w:val="1"/>
      <w:numFmt w:val="bullet"/>
      <w:lvlText w:val=""/>
      <w:lvlJc w:val="left"/>
      <w:pPr>
        <w:ind w:left="8683" w:hanging="360"/>
      </w:pPr>
      <w:rPr>
        <w:rFonts w:ascii="Wingdings" w:hAnsi="Wingdings" w:hint="default"/>
      </w:rPr>
    </w:lvl>
  </w:abstractNum>
  <w:abstractNum w:abstractNumId="32" w15:restartNumberingAfterBreak="0">
    <w:nsid w:val="69576C32"/>
    <w:multiLevelType w:val="hybridMultilevel"/>
    <w:tmpl w:val="2C58B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EE1BDF"/>
    <w:multiLevelType w:val="hybridMultilevel"/>
    <w:tmpl w:val="DBFCED7A"/>
    <w:lvl w:ilvl="0" w:tplc="D3B09C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6623FF"/>
    <w:multiLevelType w:val="hybridMultilevel"/>
    <w:tmpl w:val="5D4A3DF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5" w15:restartNumberingAfterBreak="0">
    <w:nsid w:val="70611A6A"/>
    <w:multiLevelType w:val="hybridMultilevel"/>
    <w:tmpl w:val="1E949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2B157D"/>
    <w:multiLevelType w:val="hybridMultilevel"/>
    <w:tmpl w:val="F41EB566"/>
    <w:lvl w:ilvl="0" w:tplc="F93EA1EA">
      <w:start w:val="1"/>
      <w:numFmt w:val="decimal"/>
      <w:pStyle w:val="Aufzhlung"/>
      <w:lvlText w:val="%1."/>
      <w:lvlJc w:val="left"/>
      <w:pPr>
        <w:tabs>
          <w:tab w:val="num" w:pos="1494"/>
        </w:tabs>
        <w:ind w:left="1494" w:hanging="360"/>
      </w:pPr>
      <w:rPr>
        <w:rFonts w:hint="default"/>
      </w:rPr>
    </w:lvl>
    <w:lvl w:ilvl="1" w:tplc="00190409" w:tentative="1">
      <w:start w:val="1"/>
      <w:numFmt w:val="lowerLetter"/>
      <w:lvlText w:val="%2."/>
      <w:lvlJc w:val="left"/>
      <w:pPr>
        <w:tabs>
          <w:tab w:val="num" w:pos="2574"/>
        </w:tabs>
        <w:ind w:left="2574" w:hanging="360"/>
      </w:pPr>
    </w:lvl>
    <w:lvl w:ilvl="2" w:tplc="001B0409" w:tentative="1">
      <w:start w:val="1"/>
      <w:numFmt w:val="lowerRoman"/>
      <w:lvlText w:val="%3."/>
      <w:lvlJc w:val="right"/>
      <w:pPr>
        <w:tabs>
          <w:tab w:val="num" w:pos="3294"/>
        </w:tabs>
        <w:ind w:left="3294" w:hanging="180"/>
      </w:pPr>
    </w:lvl>
    <w:lvl w:ilvl="3" w:tplc="000F0409" w:tentative="1">
      <w:start w:val="1"/>
      <w:numFmt w:val="decimal"/>
      <w:lvlText w:val="%4."/>
      <w:lvlJc w:val="left"/>
      <w:pPr>
        <w:tabs>
          <w:tab w:val="num" w:pos="4014"/>
        </w:tabs>
        <w:ind w:left="4014" w:hanging="360"/>
      </w:pPr>
    </w:lvl>
    <w:lvl w:ilvl="4" w:tplc="00190409" w:tentative="1">
      <w:start w:val="1"/>
      <w:numFmt w:val="lowerLetter"/>
      <w:lvlText w:val="%5."/>
      <w:lvlJc w:val="left"/>
      <w:pPr>
        <w:tabs>
          <w:tab w:val="num" w:pos="4734"/>
        </w:tabs>
        <w:ind w:left="4734" w:hanging="360"/>
      </w:pPr>
    </w:lvl>
    <w:lvl w:ilvl="5" w:tplc="001B0409" w:tentative="1">
      <w:start w:val="1"/>
      <w:numFmt w:val="lowerRoman"/>
      <w:lvlText w:val="%6."/>
      <w:lvlJc w:val="right"/>
      <w:pPr>
        <w:tabs>
          <w:tab w:val="num" w:pos="5454"/>
        </w:tabs>
        <w:ind w:left="5454" w:hanging="180"/>
      </w:pPr>
    </w:lvl>
    <w:lvl w:ilvl="6" w:tplc="000F0409" w:tentative="1">
      <w:start w:val="1"/>
      <w:numFmt w:val="decimal"/>
      <w:lvlText w:val="%7."/>
      <w:lvlJc w:val="left"/>
      <w:pPr>
        <w:tabs>
          <w:tab w:val="num" w:pos="6174"/>
        </w:tabs>
        <w:ind w:left="6174" w:hanging="360"/>
      </w:pPr>
    </w:lvl>
    <w:lvl w:ilvl="7" w:tplc="00190409" w:tentative="1">
      <w:start w:val="1"/>
      <w:numFmt w:val="lowerLetter"/>
      <w:lvlText w:val="%8."/>
      <w:lvlJc w:val="left"/>
      <w:pPr>
        <w:tabs>
          <w:tab w:val="num" w:pos="6894"/>
        </w:tabs>
        <w:ind w:left="6894" w:hanging="360"/>
      </w:pPr>
    </w:lvl>
    <w:lvl w:ilvl="8" w:tplc="001B0409" w:tentative="1">
      <w:start w:val="1"/>
      <w:numFmt w:val="lowerRoman"/>
      <w:lvlText w:val="%9."/>
      <w:lvlJc w:val="right"/>
      <w:pPr>
        <w:tabs>
          <w:tab w:val="num" w:pos="7614"/>
        </w:tabs>
        <w:ind w:left="7614" w:hanging="180"/>
      </w:pPr>
    </w:lvl>
  </w:abstractNum>
  <w:abstractNum w:abstractNumId="37" w15:restartNumberingAfterBreak="0">
    <w:nsid w:val="75576D27"/>
    <w:multiLevelType w:val="hybridMultilevel"/>
    <w:tmpl w:val="69601634"/>
    <w:lvl w:ilvl="0" w:tplc="7CCC0F78">
      <w:start w:val="1"/>
      <w:numFmt w:val="bullet"/>
      <w:lvlText w:val=""/>
      <w:lvlJc w:val="left"/>
      <w:pPr>
        <w:ind w:left="2563" w:hanging="360"/>
      </w:pPr>
      <w:rPr>
        <w:rFonts w:ascii="Symbol" w:hAnsi="Symbol" w:hint="default"/>
        <w:color w:val="365F91" w:themeColor="accent1" w:themeShade="BF"/>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B60769"/>
    <w:multiLevelType w:val="hybridMultilevel"/>
    <w:tmpl w:val="E444B7F4"/>
    <w:lvl w:ilvl="0" w:tplc="D3B09C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7A6381"/>
    <w:multiLevelType w:val="hybridMultilevel"/>
    <w:tmpl w:val="2FCC1570"/>
    <w:lvl w:ilvl="0" w:tplc="171A84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36"/>
  </w:num>
  <w:num w:numId="5">
    <w:abstractNumId w:val="15"/>
  </w:num>
  <w:num w:numId="6">
    <w:abstractNumId w:val="8"/>
  </w:num>
  <w:num w:numId="7">
    <w:abstractNumId w:val="18"/>
  </w:num>
  <w:num w:numId="8">
    <w:abstractNumId w:val="26"/>
  </w:num>
  <w:num w:numId="9">
    <w:abstractNumId w:val="23"/>
  </w:num>
  <w:num w:numId="10">
    <w:abstractNumId w:val="6"/>
  </w:num>
  <w:num w:numId="11">
    <w:abstractNumId w:val="30"/>
  </w:num>
  <w:num w:numId="12">
    <w:abstractNumId w:val="17"/>
  </w:num>
  <w:num w:numId="13">
    <w:abstractNumId w:val="4"/>
  </w:num>
  <w:num w:numId="14">
    <w:abstractNumId w:val="22"/>
  </w:num>
  <w:num w:numId="15">
    <w:abstractNumId w:val="31"/>
  </w:num>
  <w:num w:numId="16">
    <w:abstractNumId w:val="0"/>
  </w:num>
  <w:num w:numId="17">
    <w:abstractNumId w:val="21"/>
  </w:num>
  <w:num w:numId="18">
    <w:abstractNumId w:val="7"/>
  </w:num>
  <w:num w:numId="19">
    <w:abstractNumId w:val="15"/>
  </w:num>
  <w:num w:numId="20">
    <w:abstractNumId w:val="20"/>
  </w:num>
  <w:num w:numId="21">
    <w:abstractNumId w:val="34"/>
  </w:num>
  <w:num w:numId="22">
    <w:abstractNumId w:val="11"/>
  </w:num>
  <w:num w:numId="23">
    <w:abstractNumId w:val="15"/>
  </w:num>
  <w:num w:numId="24">
    <w:abstractNumId w:val="2"/>
  </w:num>
  <w:num w:numId="25">
    <w:abstractNumId w:val="37"/>
  </w:num>
  <w:num w:numId="26">
    <w:abstractNumId w:val="10"/>
  </w:num>
  <w:num w:numId="27">
    <w:abstractNumId w:val="39"/>
  </w:num>
  <w:num w:numId="28">
    <w:abstractNumId w:val="16"/>
  </w:num>
  <w:num w:numId="29">
    <w:abstractNumId w:val="27"/>
  </w:num>
  <w:num w:numId="30">
    <w:abstractNumId w:val="32"/>
  </w:num>
  <w:num w:numId="31">
    <w:abstractNumId w:val="35"/>
  </w:num>
  <w:num w:numId="32">
    <w:abstractNumId w:val="3"/>
  </w:num>
  <w:num w:numId="33">
    <w:abstractNumId w:val="1"/>
  </w:num>
  <w:num w:numId="34">
    <w:abstractNumId w:val="13"/>
  </w:num>
  <w:num w:numId="35">
    <w:abstractNumId w:val="14"/>
  </w:num>
  <w:num w:numId="36">
    <w:abstractNumId w:val="19"/>
  </w:num>
  <w:num w:numId="37">
    <w:abstractNumId w:val="1"/>
  </w:num>
  <w:num w:numId="38">
    <w:abstractNumId w:val="25"/>
  </w:num>
  <w:num w:numId="39">
    <w:abstractNumId w:val="28"/>
  </w:num>
  <w:num w:numId="40">
    <w:abstractNumId w:val="9"/>
  </w:num>
  <w:num w:numId="41">
    <w:abstractNumId w:val="29"/>
  </w:num>
  <w:num w:numId="42">
    <w:abstractNumId w:val="33"/>
  </w:num>
  <w:num w:numId="43">
    <w:abstractNumId w:val="38"/>
  </w:num>
  <w:num w:numId="44">
    <w:abstractNumId w:val="5"/>
  </w:num>
  <w:num w:numId="45">
    <w:abstractNumId w:val="1"/>
    <w:lvlOverride w:ilvl="0">
      <w:startOverride w:val="7"/>
    </w:lvlOverride>
    <w:lvlOverride w:ilvl="1">
      <w:startOverride w:val="1"/>
    </w:lvlOverride>
    <w:lvlOverride w:ilvl="2">
      <w:startOverride w:val="3"/>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4B"/>
    <w:rsid w:val="00005A7F"/>
    <w:rsid w:val="000108DA"/>
    <w:rsid w:val="00013057"/>
    <w:rsid w:val="00013494"/>
    <w:rsid w:val="00014A2B"/>
    <w:rsid w:val="000152FC"/>
    <w:rsid w:val="00016033"/>
    <w:rsid w:val="00017968"/>
    <w:rsid w:val="00020EF4"/>
    <w:rsid w:val="00022A1D"/>
    <w:rsid w:val="00023170"/>
    <w:rsid w:val="00040AFC"/>
    <w:rsid w:val="000413DB"/>
    <w:rsid w:val="00044967"/>
    <w:rsid w:val="00044DCC"/>
    <w:rsid w:val="000469EE"/>
    <w:rsid w:val="00047244"/>
    <w:rsid w:val="00053194"/>
    <w:rsid w:val="00055288"/>
    <w:rsid w:val="0005532C"/>
    <w:rsid w:val="00055D58"/>
    <w:rsid w:val="00061613"/>
    <w:rsid w:val="00074082"/>
    <w:rsid w:val="00075546"/>
    <w:rsid w:val="00077E56"/>
    <w:rsid w:val="000824FE"/>
    <w:rsid w:val="00082CAD"/>
    <w:rsid w:val="0008431E"/>
    <w:rsid w:val="000855F0"/>
    <w:rsid w:val="000906B4"/>
    <w:rsid w:val="000A001E"/>
    <w:rsid w:val="000A2757"/>
    <w:rsid w:val="000A35D1"/>
    <w:rsid w:val="000A448F"/>
    <w:rsid w:val="000A4930"/>
    <w:rsid w:val="000A73CC"/>
    <w:rsid w:val="000A7C39"/>
    <w:rsid w:val="000B0E12"/>
    <w:rsid w:val="000B1F3A"/>
    <w:rsid w:val="000B275F"/>
    <w:rsid w:val="000B2AB1"/>
    <w:rsid w:val="000B3B33"/>
    <w:rsid w:val="000B6FA0"/>
    <w:rsid w:val="000C13AC"/>
    <w:rsid w:val="000C52A7"/>
    <w:rsid w:val="000C6633"/>
    <w:rsid w:val="000C6874"/>
    <w:rsid w:val="000C7964"/>
    <w:rsid w:val="000D027A"/>
    <w:rsid w:val="000D0CEA"/>
    <w:rsid w:val="000D2010"/>
    <w:rsid w:val="000D46B4"/>
    <w:rsid w:val="000E14C3"/>
    <w:rsid w:val="000E4297"/>
    <w:rsid w:val="000E44BF"/>
    <w:rsid w:val="000E4E6E"/>
    <w:rsid w:val="000E5146"/>
    <w:rsid w:val="000E7F0A"/>
    <w:rsid w:val="000F0E8A"/>
    <w:rsid w:val="00100D7E"/>
    <w:rsid w:val="0010252E"/>
    <w:rsid w:val="00104874"/>
    <w:rsid w:val="00105C7C"/>
    <w:rsid w:val="0011127C"/>
    <w:rsid w:val="00114210"/>
    <w:rsid w:val="00115750"/>
    <w:rsid w:val="00117894"/>
    <w:rsid w:val="001206BA"/>
    <w:rsid w:val="00121924"/>
    <w:rsid w:val="00121B70"/>
    <w:rsid w:val="00125C37"/>
    <w:rsid w:val="001350CA"/>
    <w:rsid w:val="001361CD"/>
    <w:rsid w:val="001450E1"/>
    <w:rsid w:val="00146B89"/>
    <w:rsid w:val="00160B5A"/>
    <w:rsid w:val="00161A56"/>
    <w:rsid w:val="00162D34"/>
    <w:rsid w:val="00164B6E"/>
    <w:rsid w:val="00164D2B"/>
    <w:rsid w:val="001674EA"/>
    <w:rsid w:val="00167F8B"/>
    <w:rsid w:val="00182C9F"/>
    <w:rsid w:val="00184227"/>
    <w:rsid w:val="00185D40"/>
    <w:rsid w:val="0018738A"/>
    <w:rsid w:val="00191234"/>
    <w:rsid w:val="001917F9"/>
    <w:rsid w:val="00191FE5"/>
    <w:rsid w:val="00193C65"/>
    <w:rsid w:val="001963AD"/>
    <w:rsid w:val="00196538"/>
    <w:rsid w:val="001A06BD"/>
    <w:rsid w:val="001A6507"/>
    <w:rsid w:val="001B5A37"/>
    <w:rsid w:val="001C0AC5"/>
    <w:rsid w:val="001C5D51"/>
    <w:rsid w:val="001C6132"/>
    <w:rsid w:val="001C66E3"/>
    <w:rsid w:val="001C6934"/>
    <w:rsid w:val="001D0A4D"/>
    <w:rsid w:val="001D505A"/>
    <w:rsid w:val="001E04DC"/>
    <w:rsid w:val="001E0BF6"/>
    <w:rsid w:val="001E6757"/>
    <w:rsid w:val="002026B0"/>
    <w:rsid w:val="00204AE0"/>
    <w:rsid w:val="00211F8C"/>
    <w:rsid w:val="0021218F"/>
    <w:rsid w:val="002135CB"/>
    <w:rsid w:val="0021558D"/>
    <w:rsid w:val="00215CF1"/>
    <w:rsid w:val="002168F0"/>
    <w:rsid w:val="00220736"/>
    <w:rsid w:val="0022187F"/>
    <w:rsid w:val="0022238B"/>
    <w:rsid w:val="0022511E"/>
    <w:rsid w:val="00231DBD"/>
    <w:rsid w:val="00234AE8"/>
    <w:rsid w:val="0023726F"/>
    <w:rsid w:val="00237EEE"/>
    <w:rsid w:val="00240DF4"/>
    <w:rsid w:val="00241405"/>
    <w:rsid w:val="002422AE"/>
    <w:rsid w:val="00244553"/>
    <w:rsid w:val="00245607"/>
    <w:rsid w:val="00245D56"/>
    <w:rsid w:val="002526C0"/>
    <w:rsid w:val="00254338"/>
    <w:rsid w:val="00257DB1"/>
    <w:rsid w:val="002720D9"/>
    <w:rsid w:val="00273CC4"/>
    <w:rsid w:val="00274581"/>
    <w:rsid w:val="00274CC2"/>
    <w:rsid w:val="0027582C"/>
    <w:rsid w:val="0027622B"/>
    <w:rsid w:val="00280811"/>
    <w:rsid w:val="00290316"/>
    <w:rsid w:val="00294141"/>
    <w:rsid w:val="00295FEF"/>
    <w:rsid w:val="00296F1F"/>
    <w:rsid w:val="002A37AC"/>
    <w:rsid w:val="002B148D"/>
    <w:rsid w:val="002B37E9"/>
    <w:rsid w:val="002B3E78"/>
    <w:rsid w:val="002B5150"/>
    <w:rsid w:val="002B60F7"/>
    <w:rsid w:val="002B7406"/>
    <w:rsid w:val="002C216F"/>
    <w:rsid w:val="002C265D"/>
    <w:rsid w:val="002C33EA"/>
    <w:rsid w:val="002C6EF5"/>
    <w:rsid w:val="002D02ED"/>
    <w:rsid w:val="002F3C91"/>
    <w:rsid w:val="002F3F64"/>
    <w:rsid w:val="002F5846"/>
    <w:rsid w:val="002F5E9F"/>
    <w:rsid w:val="00305192"/>
    <w:rsid w:val="00306465"/>
    <w:rsid w:val="003067F0"/>
    <w:rsid w:val="003100C4"/>
    <w:rsid w:val="00312454"/>
    <w:rsid w:val="0031405D"/>
    <w:rsid w:val="0031641E"/>
    <w:rsid w:val="00320416"/>
    <w:rsid w:val="0032162E"/>
    <w:rsid w:val="00321CAF"/>
    <w:rsid w:val="00321EDB"/>
    <w:rsid w:val="003245AD"/>
    <w:rsid w:val="003260E9"/>
    <w:rsid w:val="00327D13"/>
    <w:rsid w:val="00330BBC"/>
    <w:rsid w:val="0033197A"/>
    <w:rsid w:val="00333831"/>
    <w:rsid w:val="003355E3"/>
    <w:rsid w:val="00337DF7"/>
    <w:rsid w:val="00347048"/>
    <w:rsid w:val="003478A4"/>
    <w:rsid w:val="00350482"/>
    <w:rsid w:val="0035142D"/>
    <w:rsid w:val="00356774"/>
    <w:rsid w:val="00362E49"/>
    <w:rsid w:val="003649B6"/>
    <w:rsid w:val="00365007"/>
    <w:rsid w:val="003667E0"/>
    <w:rsid w:val="00367066"/>
    <w:rsid w:val="0036760E"/>
    <w:rsid w:val="00371385"/>
    <w:rsid w:val="00371A44"/>
    <w:rsid w:val="00375C2D"/>
    <w:rsid w:val="00376669"/>
    <w:rsid w:val="00377728"/>
    <w:rsid w:val="0038205F"/>
    <w:rsid w:val="00384860"/>
    <w:rsid w:val="0038683B"/>
    <w:rsid w:val="003876AE"/>
    <w:rsid w:val="003909BE"/>
    <w:rsid w:val="003935D5"/>
    <w:rsid w:val="003954C1"/>
    <w:rsid w:val="003A057D"/>
    <w:rsid w:val="003A3C35"/>
    <w:rsid w:val="003A42A9"/>
    <w:rsid w:val="003B0D87"/>
    <w:rsid w:val="003B2048"/>
    <w:rsid w:val="003B2D08"/>
    <w:rsid w:val="003B3616"/>
    <w:rsid w:val="003B3D1C"/>
    <w:rsid w:val="003B5D1C"/>
    <w:rsid w:val="003C14C5"/>
    <w:rsid w:val="003C254E"/>
    <w:rsid w:val="003C402A"/>
    <w:rsid w:val="003C443D"/>
    <w:rsid w:val="003C613C"/>
    <w:rsid w:val="003C6B41"/>
    <w:rsid w:val="003D1E32"/>
    <w:rsid w:val="003D283B"/>
    <w:rsid w:val="003D2F27"/>
    <w:rsid w:val="003D49BF"/>
    <w:rsid w:val="003E529E"/>
    <w:rsid w:val="003E6D6D"/>
    <w:rsid w:val="003F04AB"/>
    <w:rsid w:val="003F376D"/>
    <w:rsid w:val="003F3A42"/>
    <w:rsid w:val="003F71D4"/>
    <w:rsid w:val="00405758"/>
    <w:rsid w:val="0040594B"/>
    <w:rsid w:val="004176C0"/>
    <w:rsid w:val="00422926"/>
    <w:rsid w:val="00425508"/>
    <w:rsid w:val="004265DF"/>
    <w:rsid w:val="00430DCD"/>
    <w:rsid w:val="00436106"/>
    <w:rsid w:val="004531B6"/>
    <w:rsid w:val="00454465"/>
    <w:rsid w:val="00464EDA"/>
    <w:rsid w:val="004651D0"/>
    <w:rsid w:val="00465295"/>
    <w:rsid w:val="00465673"/>
    <w:rsid w:val="004719FF"/>
    <w:rsid w:val="00474C73"/>
    <w:rsid w:val="0048102A"/>
    <w:rsid w:val="00481422"/>
    <w:rsid w:val="00484354"/>
    <w:rsid w:val="00485681"/>
    <w:rsid w:val="00490E5D"/>
    <w:rsid w:val="0049297C"/>
    <w:rsid w:val="00493A2A"/>
    <w:rsid w:val="00495A7C"/>
    <w:rsid w:val="004A1400"/>
    <w:rsid w:val="004A1AFB"/>
    <w:rsid w:val="004A2F81"/>
    <w:rsid w:val="004A322A"/>
    <w:rsid w:val="004A3AA1"/>
    <w:rsid w:val="004A76A6"/>
    <w:rsid w:val="004B0017"/>
    <w:rsid w:val="004B2418"/>
    <w:rsid w:val="004C14F5"/>
    <w:rsid w:val="004C1597"/>
    <w:rsid w:val="004C3288"/>
    <w:rsid w:val="004C3EA7"/>
    <w:rsid w:val="004C77B6"/>
    <w:rsid w:val="004D0F69"/>
    <w:rsid w:val="004D4A8B"/>
    <w:rsid w:val="004D4B6A"/>
    <w:rsid w:val="004D55A5"/>
    <w:rsid w:val="004D7A48"/>
    <w:rsid w:val="004E085D"/>
    <w:rsid w:val="004E21BB"/>
    <w:rsid w:val="004E265A"/>
    <w:rsid w:val="004E4047"/>
    <w:rsid w:val="004E59A9"/>
    <w:rsid w:val="004F0E81"/>
    <w:rsid w:val="004F1A1C"/>
    <w:rsid w:val="004F1F92"/>
    <w:rsid w:val="00501FB2"/>
    <w:rsid w:val="00510A5A"/>
    <w:rsid w:val="0051346F"/>
    <w:rsid w:val="00524B1E"/>
    <w:rsid w:val="00534502"/>
    <w:rsid w:val="005354F2"/>
    <w:rsid w:val="0054311C"/>
    <w:rsid w:val="00543934"/>
    <w:rsid w:val="00545420"/>
    <w:rsid w:val="005456B4"/>
    <w:rsid w:val="00546B4F"/>
    <w:rsid w:val="0054776D"/>
    <w:rsid w:val="00547988"/>
    <w:rsid w:val="0055011A"/>
    <w:rsid w:val="00550E27"/>
    <w:rsid w:val="00553128"/>
    <w:rsid w:val="00553723"/>
    <w:rsid w:val="00554008"/>
    <w:rsid w:val="00555A30"/>
    <w:rsid w:val="0056300B"/>
    <w:rsid w:val="0056413E"/>
    <w:rsid w:val="005650CB"/>
    <w:rsid w:val="00570007"/>
    <w:rsid w:val="00570305"/>
    <w:rsid w:val="005704C4"/>
    <w:rsid w:val="0057120B"/>
    <w:rsid w:val="005719CC"/>
    <w:rsid w:val="005737A9"/>
    <w:rsid w:val="00575A42"/>
    <w:rsid w:val="00581CB3"/>
    <w:rsid w:val="0058318D"/>
    <w:rsid w:val="00586B0A"/>
    <w:rsid w:val="00587AC8"/>
    <w:rsid w:val="00590A0B"/>
    <w:rsid w:val="005939BF"/>
    <w:rsid w:val="00594E0E"/>
    <w:rsid w:val="00597563"/>
    <w:rsid w:val="005A032E"/>
    <w:rsid w:val="005A1406"/>
    <w:rsid w:val="005A2BA4"/>
    <w:rsid w:val="005A4D3A"/>
    <w:rsid w:val="005A50B2"/>
    <w:rsid w:val="005A777A"/>
    <w:rsid w:val="005B01CB"/>
    <w:rsid w:val="005B1BC0"/>
    <w:rsid w:val="005B328B"/>
    <w:rsid w:val="005B7F06"/>
    <w:rsid w:val="005C1C98"/>
    <w:rsid w:val="005C5D86"/>
    <w:rsid w:val="005C5FCB"/>
    <w:rsid w:val="005D0A84"/>
    <w:rsid w:val="005D5368"/>
    <w:rsid w:val="005D5EF1"/>
    <w:rsid w:val="005E1284"/>
    <w:rsid w:val="005E1528"/>
    <w:rsid w:val="005E448D"/>
    <w:rsid w:val="005E7C04"/>
    <w:rsid w:val="005F6689"/>
    <w:rsid w:val="005F747E"/>
    <w:rsid w:val="006012DE"/>
    <w:rsid w:val="00605023"/>
    <w:rsid w:val="00613C4E"/>
    <w:rsid w:val="006144C2"/>
    <w:rsid w:val="006156CC"/>
    <w:rsid w:val="00620CD8"/>
    <w:rsid w:val="006317AB"/>
    <w:rsid w:val="00631F76"/>
    <w:rsid w:val="0063286E"/>
    <w:rsid w:val="006412C4"/>
    <w:rsid w:val="00646017"/>
    <w:rsid w:val="00646841"/>
    <w:rsid w:val="0064784F"/>
    <w:rsid w:val="00647F48"/>
    <w:rsid w:val="006510BA"/>
    <w:rsid w:val="006511B6"/>
    <w:rsid w:val="00654FB9"/>
    <w:rsid w:val="006561B4"/>
    <w:rsid w:val="00657877"/>
    <w:rsid w:val="00657945"/>
    <w:rsid w:val="006600FF"/>
    <w:rsid w:val="00672E72"/>
    <w:rsid w:val="00676960"/>
    <w:rsid w:val="00681751"/>
    <w:rsid w:val="00682CAE"/>
    <w:rsid w:val="00683184"/>
    <w:rsid w:val="006845F0"/>
    <w:rsid w:val="00684DD0"/>
    <w:rsid w:val="0069259F"/>
    <w:rsid w:val="00693BB5"/>
    <w:rsid w:val="006963A2"/>
    <w:rsid w:val="006A0A0F"/>
    <w:rsid w:val="006A112C"/>
    <w:rsid w:val="006A18BD"/>
    <w:rsid w:val="006A3030"/>
    <w:rsid w:val="006B1719"/>
    <w:rsid w:val="006B2C76"/>
    <w:rsid w:val="006B3CDD"/>
    <w:rsid w:val="006B5121"/>
    <w:rsid w:val="006B7751"/>
    <w:rsid w:val="006B7BD0"/>
    <w:rsid w:val="006C2BAD"/>
    <w:rsid w:val="006C5936"/>
    <w:rsid w:val="006D0F1C"/>
    <w:rsid w:val="006D45DE"/>
    <w:rsid w:val="006D4DFA"/>
    <w:rsid w:val="006D6092"/>
    <w:rsid w:val="006E4E62"/>
    <w:rsid w:val="006E5A14"/>
    <w:rsid w:val="006E65A6"/>
    <w:rsid w:val="006F282A"/>
    <w:rsid w:val="006F36B3"/>
    <w:rsid w:val="006F3978"/>
    <w:rsid w:val="006F6D90"/>
    <w:rsid w:val="0070227D"/>
    <w:rsid w:val="0070317D"/>
    <w:rsid w:val="007072E0"/>
    <w:rsid w:val="00711D93"/>
    <w:rsid w:val="007128E4"/>
    <w:rsid w:val="007142AD"/>
    <w:rsid w:val="0071541C"/>
    <w:rsid w:val="00717003"/>
    <w:rsid w:val="00720300"/>
    <w:rsid w:val="007242E5"/>
    <w:rsid w:val="00735202"/>
    <w:rsid w:val="007406B8"/>
    <w:rsid w:val="00740AE5"/>
    <w:rsid w:val="00741CA7"/>
    <w:rsid w:val="00742053"/>
    <w:rsid w:val="00744A65"/>
    <w:rsid w:val="00744AE9"/>
    <w:rsid w:val="00754FCE"/>
    <w:rsid w:val="00755B81"/>
    <w:rsid w:val="00757386"/>
    <w:rsid w:val="00762937"/>
    <w:rsid w:val="00771534"/>
    <w:rsid w:val="007722D3"/>
    <w:rsid w:val="00773B12"/>
    <w:rsid w:val="007742F5"/>
    <w:rsid w:val="0077460B"/>
    <w:rsid w:val="00775C58"/>
    <w:rsid w:val="007772A1"/>
    <w:rsid w:val="0077769B"/>
    <w:rsid w:val="00780B9A"/>
    <w:rsid w:val="00780CB3"/>
    <w:rsid w:val="00784AAC"/>
    <w:rsid w:val="00790D3C"/>
    <w:rsid w:val="007924CC"/>
    <w:rsid w:val="007972D8"/>
    <w:rsid w:val="00797F06"/>
    <w:rsid w:val="007A0F56"/>
    <w:rsid w:val="007A6357"/>
    <w:rsid w:val="007A6888"/>
    <w:rsid w:val="007A7057"/>
    <w:rsid w:val="007B1060"/>
    <w:rsid w:val="007B1F66"/>
    <w:rsid w:val="007B7837"/>
    <w:rsid w:val="007B7FAA"/>
    <w:rsid w:val="007C4241"/>
    <w:rsid w:val="007C42CC"/>
    <w:rsid w:val="007C6446"/>
    <w:rsid w:val="007D4F40"/>
    <w:rsid w:val="007D59E8"/>
    <w:rsid w:val="007D6262"/>
    <w:rsid w:val="007E0351"/>
    <w:rsid w:val="007E1997"/>
    <w:rsid w:val="007E4618"/>
    <w:rsid w:val="007E57E1"/>
    <w:rsid w:val="007E74F6"/>
    <w:rsid w:val="007F1191"/>
    <w:rsid w:val="007F2CF9"/>
    <w:rsid w:val="007F5A10"/>
    <w:rsid w:val="008008CA"/>
    <w:rsid w:val="0080273A"/>
    <w:rsid w:val="008076AD"/>
    <w:rsid w:val="00807DCC"/>
    <w:rsid w:val="00807E2B"/>
    <w:rsid w:val="008168C0"/>
    <w:rsid w:val="00820AEF"/>
    <w:rsid w:val="00831FB7"/>
    <w:rsid w:val="008322DD"/>
    <w:rsid w:val="008422B8"/>
    <w:rsid w:val="0084593E"/>
    <w:rsid w:val="00846D92"/>
    <w:rsid w:val="00853A20"/>
    <w:rsid w:val="0085602D"/>
    <w:rsid w:val="00860A71"/>
    <w:rsid w:val="00861D0C"/>
    <w:rsid w:val="00866F3E"/>
    <w:rsid w:val="008748B9"/>
    <w:rsid w:val="00875EE3"/>
    <w:rsid w:val="008765B3"/>
    <w:rsid w:val="00882024"/>
    <w:rsid w:val="00885F01"/>
    <w:rsid w:val="00885F25"/>
    <w:rsid w:val="00886F89"/>
    <w:rsid w:val="00887BC4"/>
    <w:rsid w:val="0089086A"/>
    <w:rsid w:val="00892155"/>
    <w:rsid w:val="00893116"/>
    <w:rsid w:val="00895C8E"/>
    <w:rsid w:val="00896804"/>
    <w:rsid w:val="008A1568"/>
    <w:rsid w:val="008A1D38"/>
    <w:rsid w:val="008A3C02"/>
    <w:rsid w:val="008A4B88"/>
    <w:rsid w:val="008A66A3"/>
    <w:rsid w:val="008B06CD"/>
    <w:rsid w:val="008B3C0A"/>
    <w:rsid w:val="008B6162"/>
    <w:rsid w:val="008C0B2A"/>
    <w:rsid w:val="008C1437"/>
    <w:rsid w:val="008C1707"/>
    <w:rsid w:val="008C2068"/>
    <w:rsid w:val="008C51F3"/>
    <w:rsid w:val="008C6154"/>
    <w:rsid w:val="008D4273"/>
    <w:rsid w:val="008E2A40"/>
    <w:rsid w:val="008E5230"/>
    <w:rsid w:val="008E523D"/>
    <w:rsid w:val="008F103E"/>
    <w:rsid w:val="008F216E"/>
    <w:rsid w:val="008F602C"/>
    <w:rsid w:val="00900D36"/>
    <w:rsid w:val="0090483C"/>
    <w:rsid w:val="00906657"/>
    <w:rsid w:val="00907BAA"/>
    <w:rsid w:val="00914E9F"/>
    <w:rsid w:val="00916375"/>
    <w:rsid w:val="0091733E"/>
    <w:rsid w:val="00920BF9"/>
    <w:rsid w:val="009215B1"/>
    <w:rsid w:val="0092234E"/>
    <w:rsid w:val="00922AAD"/>
    <w:rsid w:val="00922B4C"/>
    <w:rsid w:val="009237AD"/>
    <w:rsid w:val="009238C6"/>
    <w:rsid w:val="0092772E"/>
    <w:rsid w:val="00931671"/>
    <w:rsid w:val="00933203"/>
    <w:rsid w:val="009404CC"/>
    <w:rsid w:val="00941D36"/>
    <w:rsid w:val="0096020C"/>
    <w:rsid w:val="00961A2A"/>
    <w:rsid w:val="009635A6"/>
    <w:rsid w:val="00970980"/>
    <w:rsid w:val="00970984"/>
    <w:rsid w:val="00971F09"/>
    <w:rsid w:val="00973942"/>
    <w:rsid w:val="00976135"/>
    <w:rsid w:val="009817F2"/>
    <w:rsid w:val="00991388"/>
    <w:rsid w:val="00991568"/>
    <w:rsid w:val="00992EA9"/>
    <w:rsid w:val="009974D9"/>
    <w:rsid w:val="009A0314"/>
    <w:rsid w:val="009A0332"/>
    <w:rsid w:val="009A43F1"/>
    <w:rsid w:val="009B1CB3"/>
    <w:rsid w:val="009B259F"/>
    <w:rsid w:val="009B2D98"/>
    <w:rsid w:val="009B77C3"/>
    <w:rsid w:val="009C1B3B"/>
    <w:rsid w:val="009C414F"/>
    <w:rsid w:val="009C4276"/>
    <w:rsid w:val="009D287E"/>
    <w:rsid w:val="009D607A"/>
    <w:rsid w:val="009D6923"/>
    <w:rsid w:val="009E0309"/>
    <w:rsid w:val="009E3669"/>
    <w:rsid w:val="009E72BD"/>
    <w:rsid w:val="009F0A31"/>
    <w:rsid w:val="009F0E3D"/>
    <w:rsid w:val="009F0EE9"/>
    <w:rsid w:val="009F5528"/>
    <w:rsid w:val="009F5555"/>
    <w:rsid w:val="00A00374"/>
    <w:rsid w:val="00A01EF3"/>
    <w:rsid w:val="00A022B4"/>
    <w:rsid w:val="00A028E2"/>
    <w:rsid w:val="00A02C62"/>
    <w:rsid w:val="00A04DA0"/>
    <w:rsid w:val="00A04F3F"/>
    <w:rsid w:val="00A05B08"/>
    <w:rsid w:val="00A107B7"/>
    <w:rsid w:val="00A12423"/>
    <w:rsid w:val="00A1352B"/>
    <w:rsid w:val="00A177A5"/>
    <w:rsid w:val="00A178BC"/>
    <w:rsid w:val="00A211F4"/>
    <w:rsid w:val="00A245CA"/>
    <w:rsid w:val="00A27C61"/>
    <w:rsid w:val="00A33B03"/>
    <w:rsid w:val="00A4487E"/>
    <w:rsid w:val="00A45020"/>
    <w:rsid w:val="00A46D6B"/>
    <w:rsid w:val="00A5559C"/>
    <w:rsid w:val="00A602EB"/>
    <w:rsid w:val="00A645D3"/>
    <w:rsid w:val="00A67B7E"/>
    <w:rsid w:val="00A70798"/>
    <w:rsid w:val="00A70B55"/>
    <w:rsid w:val="00A70D74"/>
    <w:rsid w:val="00A7360A"/>
    <w:rsid w:val="00A738EC"/>
    <w:rsid w:val="00A74D3C"/>
    <w:rsid w:val="00A75995"/>
    <w:rsid w:val="00A75CE6"/>
    <w:rsid w:val="00A76F59"/>
    <w:rsid w:val="00A801A3"/>
    <w:rsid w:val="00A82539"/>
    <w:rsid w:val="00A85C9C"/>
    <w:rsid w:val="00A86B35"/>
    <w:rsid w:val="00A86FC2"/>
    <w:rsid w:val="00A87469"/>
    <w:rsid w:val="00A87BC0"/>
    <w:rsid w:val="00A9058C"/>
    <w:rsid w:val="00A91DEF"/>
    <w:rsid w:val="00A939DE"/>
    <w:rsid w:val="00A9738C"/>
    <w:rsid w:val="00AA1139"/>
    <w:rsid w:val="00AA1DDF"/>
    <w:rsid w:val="00AA5189"/>
    <w:rsid w:val="00AC0343"/>
    <w:rsid w:val="00AC0B61"/>
    <w:rsid w:val="00AC1463"/>
    <w:rsid w:val="00AC5E37"/>
    <w:rsid w:val="00AD2074"/>
    <w:rsid w:val="00AD3C3B"/>
    <w:rsid w:val="00AD5B21"/>
    <w:rsid w:val="00AD5CDE"/>
    <w:rsid w:val="00AD612B"/>
    <w:rsid w:val="00AE2A5D"/>
    <w:rsid w:val="00AE652D"/>
    <w:rsid w:val="00AF4293"/>
    <w:rsid w:val="00AF45F5"/>
    <w:rsid w:val="00AF5256"/>
    <w:rsid w:val="00AF59A0"/>
    <w:rsid w:val="00AF7D7A"/>
    <w:rsid w:val="00B0334C"/>
    <w:rsid w:val="00B1522D"/>
    <w:rsid w:val="00B171BE"/>
    <w:rsid w:val="00B21EE1"/>
    <w:rsid w:val="00B24AFA"/>
    <w:rsid w:val="00B25BFD"/>
    <w:rsid w:val="00B25D07"/>
    <w:rsid w:val="00B27760"/>
    <w:rsid w:val="00B30AF0"/>
    <w:rsid w:val="00B37175"/>
    <w:rsid w:val="00B42C4A"/>
    <w:rsid w:val="00B545E0"/>
    <w:rsid w:val="00B56395"/>
    <w:rsid w:val="00B57EEC"/>
    <w:rsid w:val="00B61983"/>
    <w:rsid w:val="00B6381A"/>
    <w:rsid w:val="00B64160"/>
    <w:rsid w:val="00B6723F"/>
    <w:rsid w:val="00B72ECD"/>
    <w:rsid w:val="00B74843"/>
    <w:rsid w:val="00B76B0E"/>
    <w:rsid w:val="00B76D40"/>
    <w:rsid w:val="00B771A5"/>
    <w:rsid w:val="00B87031"/>
    <w:rsid w:val="00B9004F"/>
    <w:rsid w:val="00B91D34"/>
    <w:rsid w:val="00B92506"/>
    <w:rsid w:val="00B947D1"/>
    <w:rsid w:val="00B97B83"/>
    <w:rsid w:val="00BA0A93"/>
    <w:rsid w:val="00BA0BEF"/>
    <w:rsid w:val="00BA0FC9"/>
    <w:rsid w:val="00BA33BF"/>
    <w:rsid w:val="00BA3E95"/>
    <w:rsid w:val="00BA67CE"/>
    <w:rsid w:val="00BA77E6"/>
    <w:rsid w:val="00BB2947"/>
    <w:rsid w:val="00BB602C"/>
    <w:rsid w:val="00BC07DC"/>
    <w:rsid w:val="00BC1935"/>
    <w:rsid w:val="00BC47A4"/>
    <w:rsid w:val="00BC47BC"/>
    <w:rsid w:val="00BD0CDF"/>
    <w:rsid w:val="00BD2EBA"/>
    <w:rsid w:val="00BD370B"/>
    <w:rsid w:val="00BD5383"/>
    <w:rsid w:val="00BE1C82"/>
    <w:rsid w:val="00BE4272"/>
    <w:rsid w:val="00BE4CDA"/>
    <w:rsid w:val="00BE6E2D"/>
    <w:rsid w:val="00BE7D7A"/>
    <w:rsid w:val="00BF28CB"/>
    <w:rsid w:val="00BF3EA1"/>
    <w:rsid w:val="00BF492D"/>
    <w:rsid w:val="00C02F45"/>
    <w:rsid w:val="00C0342E"/>
    <w:rsid w:val="00C0741C"/>
    <w:rsid w:val="00C0780D"/>
    <w:rsid w:val="00C11B5D"/>
    <w:rsid w:val="00C13A68"/>
    <w:rsid w:val="00C143B6"/>
    <w:rsid w:val="00C15B5A"/>
    <w:rsid w:val="00C17A31"/>
    <w:rsid w:val="00C20655"/>
    <w:rsid w:val="00C20A5A"/>
    <w:rsid w:val="00C21421"/>
    <w:rsid w:val="00C21887"/>
    <w:rsid w:val="00C2512B"/>
    <w:rsid w:val="00C25E1F"/>
    <w:rsid w:val="00C26235"/>
    <w:rsid w:val="00C262BF"/>
    <w:rsid w:val="00C26302"/>
    <w:rsid w:val="00C268D6"/>
    <w:rsid w:val="00C33F22"/>
    <w:rsid w:val="00C40C5D"/>
    <w:rsid w:val="00C412F2"/>
    <w:rsid w:val="00C41492"/>
    <w:rsid w:val="00C4568F"/>
    <w:rsid w:val="00C46859"/>
    <w:rsid w:val="00C46AD1"/>
    <w:rsid w:val="00C50201"/>
    <w:rsid w:val="00C52291"/>
    <w:rsid w:val="00C5290B"/>
    <w:rsid w:val="00C570CF"/>
    <w:rsid w:val="00C60FAD"/>
    <w:rsid w:val="00C61C52"/>
    <w:rsid w:val="00C636F8"/>
    <w:rsid w:val="00C63F0F"/>
    <w:rsid w:val="00C657D2"/>
    <w:rsid w:val="00C65B43"/>
    <w:rsid w:val="00C664FF"/>
    <w:rsid w:val="00C72AF3"/>
    <w:rsid w:val="00C759DF"/>
    <w:rsid w:val="00C8241F"/>
    <w:rsid w:val="00C836D1"/>
    <w:rsid w:val="00C844EA"/>
    <w:rsid w:val="00C87383"/>
    <w:rsid w:val="00C92C6E"/>
    <w:rsid w:val="00C942AC"/>
    <w:rsid w:val="00C94784"/>
    <w:rsid w:val="00C94A2B"/>
    <w:rsid w:val="00C97729"/>
    <w:rsid w:val="00CA0A53"/>
    <w:rsid w:val="00CA1779"/>
    <w:rsid w:val="00CA3710"/>
    <w:rsid w:val="00CA4159"/>
    <w:rsid w:val="00CA41CD"/>
    <w:rsid w:val="00CA60AB"/>
    <w:rsid w:val="00CA6EDA"/>
    <w:rsid w:val="00CB26BD"/>
    <w:rsid w:val="00CC55BA"/>
    <w:rsid w:val="00CC7A15"/>
    <w:rsid w:val="00CD21DB"/>
    <w:rsid w:val="00CD35D6"/>
    <w:rsid w:val="00CD4737"/>
    <w:rsid w:val="00CE15C5"/>
    <w:rsid w:val="00CE4005"/>
    <w:rsid w:val="00CE5EE4"/>
    <w:rsid w:val="00CE6C93"/>
    <w:rsid w:val="00CE7753"/>
    <w:rsid w:val="00CF2489"/>
    <w:rsid w:val="00CF3DE1"/>
    <w:rsid w:val="00CF6C56"/>
    <w:rsid w:val="00D00482"/>
    <w:rsid w:val="00D01E1E"/>
    <w:rsid w:val="00D02DB8"/>
    <w:rsid w:val="00D03CD2"/>
    <w:rsid w:val="00D06E54"/>
    <w:rsid w:val="00D077ED"/>
    <w:rsid w:val="00D15D59"/>
    <w:rsid w:val="00D1717D"/>
    <w:rsid w:val="00D3067B"/>
    <w:rsid w:val="00D324B0"/>
    <w:rsid w:val="00D3292D"/>
    <w:rsid w:val="00D4163B"/>
    <w:rsid w:val="00D42CE5"/>
    <w:rsid w:val="00D42F1A"/>
    <w:rsid w:val="00D43E04"/>
    <w:rsid w:val="00D4701E"/>
    <w:rsid w:val="00D53804"/>
    <w:rsid w:val="00D579D9"/>
    <w:rsid w:val="00D65578"/>
    <w:rsid w:val="00D66D6E"/>
    <w:rsid w:val="00D675DD"/>
    <w:rsid w:val="00D71313"/>
    <w:rsid w:val="00D741D3"/>
    <w:rsid w:val="00D7502E"/>
    <w:rsid w:val="00D76725"/>
    <w:rsid w:val="00D81141"/>
    <w:rsid w:val="00D849E9"/>
    <w:rsid w:val="00D85A09"/>
    <w:rsid w:val="00D95A91"/>
    <w:rsid w:val="00D960B9"/>
    <w:rsid w:val="00D96AC3"/>
    <w:rsid w:val="00D97E23"/>
    <w:rsid w:val="00DA0A2E"/>
    <w:rsid w:val="00DA3655"/>
    <w:rsid w:val="00DA3FB6"/>
    <w:rsid w:val="00DB0267"/>
    <w:rsid w:val="00DB19D3"/>
    <w:rsid w:val="00DB2BF4"/>
    <w:rsid w:val="00DB74B4"/>
    <w:rsid w:val="00DB7F3E"/>
    <w:rsid w:val="00DC046E"/>
    <w:rsid w:val="00DC28CA"/>
    <w:rsid w:val="00DC3012"/>
    <w:rsid w:val="00DC3C4A"/>
    <w:rsid w:val="00DD3CCB"/>
    <w:rsid w:val="00DD4627"/>
    <w:rsid w:val="00DD56F1"/>
    <w:rsid w:val="00DD710F"/>
    <w:rsid w:val="00DE02C9"/>
    <w:rsid w:val="00DE0933"/>
    <w:rsid w:val="00E022C8"/>
    <w:rsid w:val="00E03D17"/>
    <w:rsid w:val="00E046A6"/>
    <w:rsid w:val="00E04985"/>
    <w:rsid w:val="00E05256"/>
    <w:rsid w:val="00E105B2"/>
    <w:rsid w:val="00E11627"/>
    <w:rsid w:val="00E11784"/>
    <w:rsid w:val="00E12339"/>
    <w:rsid w:val="00E132CF"/>
    <w:rsid w:val="00E13436"/>
    <w:rsid w:val="00E1504F"/>
    <w:rsid w:val="00E214BF"/>
    <w:rsid w:val="00E221C1"/>
    <w:rsid w:val="00E248D2"/>
    <w:rsid w:val="00E25542"/>
    <w:rsid w:val="00E26AD8"/>
    <w:rsid w:val="00E309BE"/>
    <w:rsid w:val="00E35E70"/>
    <w:rsid w:val="00E37E5F"/>
    <w:rsid w:val="00E44BDF"/>
    <w:rsid w:val="00E45153"/>
    <w:rsid w:val="00E5013B"/>
    <w:rsid w:val="00E51318"/>
    <w:rsid w:val="00E51878"/>
    <w:rsid w:val="00E529C7"/>
    <w:rsid w:val="00E52E7F"/>
    <w:rsid w:val="00E5330A"/>
    <w:rsid w:val="00E54C71"/>
    <w:rsid w:val="00E559E5"/>
    <w:rsid w:val="00E55AA2"/>
    <w:rsid w:val="00E57234"/>
    <w:rsid w:val="00E648A8"/>
    <w:rsid w:val="00E70DFC"/>
    <w:rsid w:val="00E72CC5"/>
    <w:rsid w:val="00E734AE"/>
    <w:rsid w:val="00E7545F"/>
    <w:rsid w:val="00E75F75"/>
    <w:rsid w:val="00E767BF"/>
    <w:rsid w:val="00E77E9F"/>
    <w:rsid w:val="00E80583"/>
    <w:rsid w:val="00E82130"/>
    <w:rsid w:val="00E83B17"/>
    <w:rsid w:val="00E83BDE"/>
    <w:rsid w:val="00E842D7"/>
    <w:rsid w:val="00E84347"/>
    <w:rsid w:val="00E846B9"/>
    <w:rsid w:val="00E85BA7"/>
    <w:rsid w:val="00E864B3"/>
    <w:rsid w:val="00E86E28"/>
    <w:rsid w:val="00E902F3"/>
    <w:rsid w:val="00E912E0"/>
    <w:rsid w:val="00E913A5"/>
    <w:rsid w:val="00E91A7D"/>
    <w:rsid w:val="00E92E62"/>
    <w:rsid w:val="00E934F8"/>
    <w:rsid w:val="00E95A84"/>
    <w:rsid w:val="00E95E62"/>
    <w:rsid w:val="00EA4FA7"/>
    <w:rsid w:val="00EA589B"/>
    <w:rsid w:val="00EA5953"/>
    <w:rsid w:val="00EA5DC5"/>
    <w:rsid w:val="00EA71DC"/>
    <w:rsid w:val="00EA7781"/>
    <w:rsid w:val="00EB1092"/>
    <w:rsid w:val="00EB1C93"/>
    <w:rsid w:val="00EB5312"/>
    <w:rsid w:val="00EC1096"/>
    <w:rsid w:val="00EC2456"/>
    <w:rsid w:val="00EC5B65"/>
    <w:rsid w:val="00EC61F4"/>
    <w:rsid w:val="00ED041F"/>
    <w:rsid w:val="00ED1901"/>
    <w:rsid w:val="00ED3832"/>
    <w:rsid w:val="00ED4742"/>
    <w:rsid w:val="00ED5FB3"/>
    <w:rsid w:val="00ED6C8D"/>
    <w:rsid w:val="00ED74C7"/>
    <w:rsid w:val="00EE2303"/>
    <w:rsid w:val="00EE2DD4"/>
    <w:rsid w:val="00EE3702"/>
    <w:rsid w:val="00EE418A"/>
    <w:rsid w:val="00EE549C"/>
    <w:rsid w:val="00EE6A81"/>
    <w:rsid w:val="00EF1951"/>
    <w:rsid w:val="00EF37F6"/>
    <w:rsid w:val="00EF5F57"/>
    <w:rsid w:val="00EF65D8"/>
    <w:rsid w:val="00EF6736"/>
    <w:rsid w:val="00EF6D7D"/>
    <w:rsid w:val="00EF7C73"/>
    <w:rsid w:val="00F007D4"/>
    <w:rsid w:val="00F00FFB"/>
    <w:rsid w:val="00F01FD3"/>
    <w:rsid w:val="00F038A1"/>
    <w:rsid w:val="00F04996"/>
    <w:rsid w:val="00F07A2A"/>
    <w:rsid w:val="00F11436"/>
    <w:rsid w:val="00F157A4"/>
    <w:rsid w:val="00F229D3"/>
    <w:rsid w:val="00F2378E"/>
    <w:rsid w:val="00F25FCD"/>
    <w:rsid w:val="00F3283F"/>
    <w:rsid w:val="00F3649A"/>
    <w:rsid w:val="00F414F8"/>
    <w:rsid w:val="00F41A0B"/>
    <w:rsid w:val="00F43A3D"/>
    <w:rsid w:val="00F4698F"/>
    <w:rsid w:val="00F50B98"/>
    <w:rsid w:val="00F540CC"/>
    <w:rsid w:val="00F5545F"/>
    <w:rsid w:val="00F657F8"/>
    <w:rsid w:val="00F71B80"/>
    <w:rsid w:val="00F71E9C"/>
    <w:rsid w:val="00F75C3D"/>
    <w:rsid w:val="00F822C3"/>
    <w:rsid w:val="00F83D77"/>
    <w:rsid w:val="00F904C5"/>
    <w:rsid w:val="00F90CA1"/>
    <w:rsid w:val="00F938BE"/>
    <w:rsid w:val="00F942E9"/>
    <w:rsid w:val="00F95FDF"/>
    <w:rsid w:val="00FA128C"/>
    <w:rsid w:val="00FA4C33"/>
    <w:rsid w:val="00FA6205"/>
    <w:rsid w:val="00FB12FD"/>
    <w:rsid w:val="00FB5C60"/>
    <w:rsid w:val="00FB7B3C"/>
    <w:rsid w:val="00FC2703"/>
    <w:rsid w:val="00FC30F2"/>
    <w:rsid w:val="00FC4877"/>
    <w:rsid w:val="00FC55FE"/>
    <w:rsid w:val="00FD6021"/>
    <w:rsid w:val="00FD666E"/>
    <w:rsid w:val="00FE0EA4"/>
    <w:rsid w:val="00FE4C66"/>
    <w:rsid w:val="00FE58C0"/>
    <w:rsid w:val="00FF4B31"/>
    <w:rsid w:val="00FF56DC"/>
    <w:rsid w:val="00FF5C09"/>
    <w:rsid w:val="00FF6AF9"/>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A203CD0"/>
  <w14:defaultImageDpi w14:val="300"/>
  <w15:docId w15:val="{1EDB5B2F-E26D-4268-9915-5084C8EB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333333"/>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1D36"/>
    <w:pPr>
      <w:jc w:val="both"/>
    </w:pPr>
  </w:style>
  <w:style w:type="paragraph" w:styleId="berschrift1">
    <w:name w:val="heading 1"/>
    <w:basedOn w:val="Standard"/>
    <w:next w:val="Textkrper-Zeileneinzug"/>
    <w:autoRedefine/>
    <w:qFormat/>
    <w:rsid w:val="002422AE"/>
    <w:pPr>
      <w:keepNext/>
      <w:numPr>
        <w:numId w:val="3"/>
      </w:numPr>
      <w:spacing w:before="600" w:after="320" w:line="280" w:lineRule="atLeast"/>
      <w:ind w:left="431" w:hanging="431"/>
      <w:outlineLvl w:val="0"/>
    </w:pPr>
    <w:rPr>
      <w:rFonts w:cs="Arial"/>
      <w:b/>
      <w:kern w:val="32"/>
      <w:sz w:val="24"/>
      <w:szCs w:val="24"/>
    </w:rPr>
  </w:style>
  <w:style w:type="paragraph" w:styleId="berschrift2">
    <w:name w:val="heading 2"/>
    <w:basedOn w:val="Standard"/>
    <w:next w:val="Textkrper-Zeileneinzug"/>
    <w:qFormat/>
    <w:rsid w:val="00B315A9"/>
    <w:pPr>
      <w:keepNext/>
      <w:numPr>
        <w:ilvl w:val="1"/>
        <w:numId w:val="3"/>
      </w:numPr>
      <w:tabs>
        <w:tab w:val="left" w:pos="851"/>
      </w:tabs>
      <w:spacing w:before="600" w:after="320"/>
      <w:outlineLvl w:val="1"/>
    </w:pPr>
    <w:rPr>
      <w:sz w:val="24"/>
      <w:szCs w:val="28"/>
    </w:rPr>
  </w:style>
  <w:style w:type="paragraph" w:styleId="berschrift3">
    <w:name w:val="heading 3"/>
    <w:basedOn w:val="Standard"/>
    <w:next w:val="Textkrper-Zeileneinzug"/>
    <w:link w:val="berschrift3Zchn"/>
    <w:qFormat/>
    <w:rsid w:val="00B315A9"/>
    <w:pPr>
      <w:keepNext/>
      <w:numPr>
        <w:ilvl w:val="2"/>
        <w:numId w:val="3"/>
      </w:numPr>
      <w:tabs>
        <w:tab w:val="left" w:pos="851"/>
      </w:tabs>
      <w:spacing w:before="600" w:after="320"/>
      <w:outlineLvl w:val="2"/>
    </w:pPr>
    <w:rPr>
      <w:szCs w:val="26"/>
    </w:rPr>
  </w:style>
  <w:style w:type="paragraph" w:styleId="berschrift4">
    <w:name w:val="heading 4"/>
    <w:basedOn w:val="Standard"/>
    <w:next w:val="Textkrper-Zeileneinzug"/>
    <w:qFormat/>
    <w:rsid w:val="0074711F"/>
    <w:pPr>
      <w:keepNext/>
      <w:tabs>
        <w:tab w:val="left" w:pos="851"/>
      </w:tabs>
      <w:spacing w:before="300" w:after="160"/>
      <w:ind w:left="851"/>
      <w:outlineLvl w:val="3"/>
    </w:pPr>
    <w:rPr>
      <w:rFonts w:cs="Arial"/>
      <w:u w:val="single"/>
    </w:rPr>
  </w:style>
  <w:style w:type="paragraph" w:styleId="berschrift5">
    <w:name w:val="heading 5"/>
    <w:basedOn w:val="Standard"/>
    <w:next w:val="Standard"/>
    <w:qFormat/>
    <w:rsid w:val="00892124"/>
    <w:pPr>
      <w:numPr>
        <w:ilvl w:val="4"/>
        <w:numId w:val="3"/>
      </w:numPr>
      <w:spacing w:before="240" w:after="60"/>
      <w:outlineLvl w:val="4"/>
    </w:pPr>
    <w:rPr>
      <w:b/>
      <w:i/>
      <w:sz w:val="26"/>
      <w:szCs w:val="26"/>
    </w:rPr>
  </w:style>
  <w:style w:type="paragraph" w:styleId="berschrift6">
    <w:name w:val="heading 6"/>
    <w:basedOn w:val="Standard"/>
    <w:next w:val="Standard"/>
    <w:qFormat/>
    <w:rsid w:val="00892124"/>
    <w:pPr>
      <w:numPr>
        <w:ilvl w:val="5"/>
        <w:numId w:val="3"/>
      </w:numPr>
      <w:spacing w:before="240" w:after="60"/>
      <w:outlineLvl w:val="5"/>
    </w:pPr>
    <w:rPr>
      <w:rFonts w:ascii="Times New Roman" w:hAnsi="Times New Roman"/>
      <w:b/>
    </w:rPr>
  </w:style>
  <w:style w:type="paragraph" w:styleId="berschrift7">
    <w:name w:val="heading 7"/>
    <w:basedOn w:val="Standard"/>
    <w:next w:val="Standard"/>
    <w:qFormat/>
    <w:rsid w:val="00892124"/>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rsid w:val="00892124"/>
    <w:pPr>
      <w:numPr>
        <w:ilvl w:val="7"/>
        <w:numId w:val="3"/>
      </w:numPr>
      <w:spacing w:before="240" w:after="60"/>
      <w:outlineLvl w:val="7"/>
    </w:pPr>
    <w:rPr>
      <w:rFonts w:ascii="Times New Roman" w:hAnsi="Times New Roman"/>
      <w:i/>
      <w:sz w:val="24"/>
    </w:rPr>
  </w:style>
  <w:style w:type="paragraph" w:styleId="berschrift9">
    <w:name w:val="heading 9"/>
    <w:basedOn w:val="Standard"/>
    <w:next w:val="Standard"/>
    <w:qFormat/>
    <w:rsid w:val="00892124"/>
    <w:pPr>
      <w:numPr>
        <w:ilvl w:val="8"/>
        <w:numId w:val="3"/>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B315A9"/>
    <w:pPr>
      <w:tabs>
        <w:tab w:val="left" w:pos="851"/>
      </w:tabs>
      <w:spacing w:after="120"/>
      <w:ind w:left="851"/>
    </w:pPr>
    <w:rPr>
      <w:color w:val="666666"/>
    </w:rPr>
  </w:style>
  <w:style w:type="paragraph" w:styleId="Kopfzeile">
    <w:name w:val="header"/>
    <w:basedOn w:val="Standard"/>
    <w:rsid w:val="00061112"/>
    <w:pPr>
      <w:tabs>
        <w:tab w:val="center" w:pos="4320"/>
        <w:tab w:val="right" w:pos="8640"/>
      </w:tabs>
    </w:pPr>
  </w:style>
  <w:style w:type="paragraph" w:styleId="Fuzeile">
    <w:name w:val="footer"/>
    <w:basedOn w:val="Standard"/>
    <w:semiHidden/>
    <w:rsid w:val="00793BB4"/>
    <w:pPr>
      <w:tabs>
        <w:tab w:val="center" w:pos="4153"/>
        <w:tab w:val="right" w:pos="8306"/>
      </w:tabs>
    </w:pPr>
    <w:rPr>
      <w:color w:val="6D819F"/>
      <w:sz w:val="16"/>
    </w:rPr>
  </w:style>
  <w:style w:type="paragraph" w:styleId="Titel">
    <w:name w:val="Title"/>
    <w:basedOn w:val="Standard"/>
    <w:qFormat/>
    <w:rsid w:val="00793BB4"/>
    <w:pPr>
      <w:jc w:val="center"/>
      <w:outlineLvl w:val="0"/>
    </w:pPr>
    <w:rPr>
      <w:color w:val="44648F"/>
      <w:kern w:val="28"/>
      <w:sz w:val="48"/>
      <w:szCs w:val="32"/>
    </w:rPr>
  </w:style>
  <w:style w:type="character" w:styleId="Hyperlink">
    <w:name w:val="Hyperlink"/>
    <w:rsid w:val="00237E24"/>
    <w:rPr>
      <w:rFonts w:ascii="Helvetica Neue" w:hAnsi="Helvetica Neue"/>
      <w:color w:val="FF6600"/>
      <w:sz w:val="16"/>
    </w:rPr>
  </w:style>
  <w:style w:type="paragraph" w:styleId="Verzeichnis1">
    <w:name w:val="toc 1"/>
    <w:basedOn w:val="Standard"/>
    <w:next w:val="Standard"/>
    <w:autoRedefine/>
    <w:uiPriority w:val="39"/>
    <w:rsid w:val="00EA4FA7"/>
    <w:pPr>
      <w:tabs>
        <w:tab w:val="left" w:pos="382"/>
        <w:tab w:val="right" w:leader="dot" w:pos="8246"/>
      </w:tabs>
      <w:spacing w:before="120" w:after="120" w:line="280" w:lineRule="exact"/>
      <w:jc w:val="left"/>
    </w:pPr>
    <w:rPr>
      <w:rFonts w:asciiTheme="minorHAnsi" w:hAnsiTheme="minorHAnsi"/>
      <w:b/>
      <w:sz w:val="24"/>
    </w:rPr>
  </w:style>
  <w:style w:type="paragraph" w:styleId="Verzeichnis2">
    <w:name w:val="toc 2"/>
    <w:basedOn w:val="Standard"/>
    <w:next w:val="Standard"/>
    <w:autoRedefine/>
    <w:uiPriority w:val="39"/>
    <w:rsid w:val="006E7234"/>
    <w:pPr>
      <w:ind w:left="200"/>
      <w:jc w:val="left"/>
    </w:pPr>
    <w:rPr>
      <w:rFonts w:asciiTheme="minorHAnsi" w:hAnsiTheme="minorHAnsi"/>
      <w:b/>
    </w:rPr>
  </w:style>
  <w:style w:type="paragraph" w:styleId="Verzeichnis3">
    <w:name w:val="toc 3"/>
    <w:basedOn w:val="Standard"/>
    <w:next w:val="Standard"/>
    <w:autoRedefine/>
    <w:uiPriority w:val="39"/>
    <w:rsid w:val="00240DF4"/>
    <w:pPr>
      <w:tabs>
        <w:tab w:val="left" w:pos="1200"/>
        <w:tab w:val="right" w:leader="dot" w:pos="8249"/>
      </w:tabs>
      <w:ind w:left="400"/>
      <w:jc w:val="left"/>
    </w:pPr>
    <w:rPr>
      <w:rFonts w:asciiTheme="minorHAnsi" w:hAnsiTheme="minorHAnsi"/>
    </w:rPr>
  </w:style>
  <w:style w:type="paragraph" w:styleId="Verzeichnis4">
    <w:name w:val="toc 4"/>
    <w:basedOn w:val="Standard"/>
    <w:next w:val="Standard"/>
    <w:semiHidden/>
    <w:rsid w:val="00114C45"/>
    <w:pPr>
      <w:ind w:left="600"/>
      <w:jc w:val="left"/>
    </w:pPr>
    <w:rPr>
      <w:rFonts w:asciiTheme="minorHAnsi" w:hAnsiTheme="minorHAnsi"/>
      <w:szCs w:val="20"/>
    </w:rPr>
  </w:style>
  <w:style w:type="paragraph" w:styleId="Verzeichnis5">
    <w:name w:val="toc 5"/>
    <w:basedOn w:val="Standard"/>
    <w:next w:val="Standard"/>
    <w:autoRedefine/>
    <w:semiHidden/>
    <w:rsid w:val="00BB07D7"/>
    <w:pPr>
      <w:ind w:left="800"/>
      <w:jc w:val="left"/>
    </w:pPr>
    <w:rPr>
      <w:rFonts w:asciiTheme="minorHAnsi" w:hAnsiTheme="minorHAnsi"/>
      <w:szCs w:val="20"/>
    </w:rPr>
  </w:style>
  <w:style w:type="paragraph" w:styleId="Verzeichnis6">
    <w:name w:val="toc 6"/>
    <w:basedOn w:val="Standard"/>
    <w:next w:val="Standard"/>
    <w:autoRedefine/>
    <w:semiHidden/>
    <w:rsid w:val="00BB07D7"/>
    <w:pPr>
      <w:ind w:left="1000"/>
      <w:jc w:val="left"/>
    </w:pPr>
    <w:rPr>
      <w:rFonts w:asciiTheme="minorHAnsi" w:hAnsiTheme="minorHAnsi"/>
      <w:szCs w:val="20"/>
    </w:rPr>
  </w:style>
  <w:style w:type="paragraph" w:styleId="Verzeichnis7">
    <w:name w:val="toc 7"/>
    <w:basedOn w:val="Standard"/>
    <w:next w:val="Standard"/>
    <w:autoRedefine/>
    <w:semiHidden/>
    <w:rsid w:val="00BB07D7"/>
    <w:pPr>
      <w:ind w:left="1200"/>
      <w:jc w:val="left"/>
    </w:pPr>
    <w:rPr>
      <w:rFonts w:asciiTheme="minorHAnsi" w:hAnsiTheme="minorHAnsi"/>
      <w:szCs w:val="20"/>
    </w:rPr>
  </w:style>
  <w:style w:type="paragraph" w:styleId="Verzeichnis8">
    <w:name w:val="toc 8"/>
    <w:basedOn w:val="Standard"/>
    <w:next w:val="Standard"/>
    <w:autoRedefine/>
    <w:semiHidden/>
    <w:rsid w:val="00BB07D7"/>
    <w:pPr>
      <w:ind w:left="1400"/>
      <w:jc w:val="left"/>
    </w:pPr>
    <w:rPr>
      <w:rFonts w:asciiTheme="minorHAnsi" w:hAnsiTheme="minorHAnsi"/>
      <w:szCs w:val="20"/>
    </w:rPr>
  </w:style>
  <w:style w:type="paragraph" w:styleId="Verzeichnis9">
    <w:name w:val="toc 9"/>
    <w:basedOn w:val="Standard"/>
    <w:next w:val="Standard"/>
    <w:autoRedefine/>
    <w:semiHidden/>
    <w:rsid w:val="00BB07D7"/>
    <w:pPr>
      <w:ind w:left="1600"/>
      <w:jc w:val="left"/>
    </w:pPr>
    <w:rPr>
      <w:rFonts w:asciiTheme="minorHAnsi" w:hAnsiTheme="minorHAnsi"/>
      <w:szCs w:val="20"/>
    </w:rPr>
  </w:style>
  <w:style w:type="character" w:styleId="Seitenzahl">
    <w:name w:val="page number"/>
    <w:basedOn w:val="Absatz-Standardschriftart"/>
    <w:rsid w:val="0013343D"/>
  </w:style>
  <w:style w:type="paragraph" w:styleId="Beschriftung">
    <w:name w:val="caption"/>
    <w:basedOn w:val="Textkrper-Zeileneinzug"/>
    <w:next w:val="Standard"/>
    <w:qFormat/>
    <w:rsid w:val="00793BB4"/>
    <w:pPr>
      <w:spacing w:before="80" w:after="240"/>
      <w:jc w:val="left"/>
    </w:pPr>
    <w:rPr>
      <w:color w:val="44648F"/>
      <w:sz w:val="16"/>
    </w:rPr>
  </w:style>
  <w:style w:type="paragraph" w:customStyle="1" w:styleId="Auflistung1">
    <w:name w:val="Auflistung 1"/>
    <w:basedOn w:val="Textkrper-Zeileneinzug"/>
    <w:rsid w:val="00DC4F0E"/>
    <w:pPr>
      <w:numPr>
        <w:numId w:val="5"/>
      </w:numPr>
    </w:pPr>
  </w:style>
  <w:style w:type="paragraph" w:customStyle="1" w:styleId="Auflistung2">
    <w:name w:val="Auflistung 2"/>
    <w:basedOn w:val="Textkrper-Zeileneinzug"/>
    <w:rsid w:val="0013343D"/>
    <w:pPr>
      <w:numPr>
        <w:numId w:val="1"/>
      </w:numPr>
    </w:pPr>
  </w:style>
  <w:style w:type="paragraph" w:customStyle="1" w:styleId="Auflistung3">
    <w:name w:val="Auflistung 3"/>
    <w:basedOn w:val="Textkrper-Zeileneinzug"/>
    <w:rsid w:val="0013343D"/>
    <w:pPr>
      <w:numPr>
        <w:numId w:val="2"/>
      </w:numPr>
    </w:pPr>
  </w:style>
  <w:style w:type="paragraph" w:styleId="Textkrper">
    <w:name w:val="Body Text"/>
    <w:basedOn w:val="Standard"/>
    <w:link w:val="TextkrperZchn"/>
    <w:rsid w:val="0013343D"/>
    <w:pPr>
      <w:spacing w:after="120"/>
    </w:pPr>
  </w:style>
  <w:style w:type="paragraph" w:customStyle="1" w:styleId="Aufzhlung">
    <w:name w:val="Aufzählung"/>
    <w:basedOn w:val="Textkrper-Zeileneinzug"/>
    <w:rsid w:val="00892124"/>
    <w:pPr>
      <w:numPr>
        <w:numId w:val="4"/>
      </w:numPr>
      <w:tabs>
        <w:tab w:val="clear" w:pos="851"/>
        <w:tab w:val="left" w:pos="1531"/>
      </w:tabs>
      <w:ind w:left="1531" w:hanging="397"/>
      <w:jc w:val="left"/>
    </w:pPr>
  </w:style>
  <w:style w:type="paragraph" w:styleId="Funotentext">
    <w:name w:val="footnote text"/>
    <w:basedOn w:val="Standard"/>
    <w:semiHidden/>
    <w:rsid w:val="00B315A9"/>
    <w:rPr>
      <w:color w:val="666666"/>
      <w:sz w:val="16"/>
    </w:rPr>
  </w:style>
  <w:style w:type="table" w:styleId="Tabellenraster">
    <w:name w:val="Table Grid"/>
    <w:basedOn w:val="NormaleTabelle"/>
    <w:uiPriority w:val="59"/>
    <w:rsid w:val="001D2AD6"/>
    <w:pPr>
      <w:jc w:val="center"/>
    </w:pPr>
    <w:rPr>
      <w:lang w:bidi="x-none"/>
    </w:rPr>
    <w:tblPr>
      <w:tblInd w:w="851" w:type="dxa"/>
      <w:tblBorders>
        <w:top w:val="single" w:sz="6" w:space="0" w:color="697994"/>
        <w:bottom w:val="single" w:sz="6" w:space="0" w:color="697994"/>
      </w:tblBorders>
    </w:tblPr>
    <w:tcPr>
      <w:tcMar>
        <w:top w:w="28" w:type="dxa"/>
        <w:left w:w="0" w:type="dxa"/>
        <w:bottom w:w="28" w:type="dxa"/>
        <w:right w:w="0" w:type="dxa"/>
      </w:tcMar>
      <w:vAlign w:val="center"/>
    </w:tcPr>
    <w:tblStylePr w:type="firstRow">
      <w:pPr>
        <w:jc w:val="center"/>
      </w:pPr>
      <w:rPr>
        <w:rFonts w:ascii="Lucida Grande" w:hAnsi="Lucida Grande"/>
        <w:color w:val="auto"/>
        <w:sz w:val="18"/>
      </w:rPr>
      <w:tblPr/>
      <w:tcPr>
        <w:tcBorders>
          <w:bottom w:val="nil"/>
        </w:tcBorders>
      </w:tcPr>
    </w:tblStylePr>
    <w:tblStylePr w:type="firstCol">
      <w:pPr>
        <w:jc w:val="left"/>
      </w:pPr>
      <w:rPr>
        <w:rFonts w:ascii="Lucida Grande" w:hAnsi="Lucida Grande"/>
        <w:color w:val="auto"/>
        <w:sz w:val="18"/>
      </w:rPr>
    </w:tblStylePr>
  </w:style>
  <w:style w:type="character" w:styleId="Funotenzeichen">
    <w:name w:val="footnote reference"/>
    <w:semiHidden/>
    <w:rsid w:val="00B315A9"/>
    <w:rPr>
      <w:vertAlign w:val="superscript"/>
    </w:rPr>
  </w:style>
  <w:style w:type="paragraph" w:styleId="Dokumentstruktur">
    <w:name w:val="Document Map"/>
    <w:basedOn w:val="Standard"/>
    <w:semiHidden/>
    <w:rsid w:val="009E5157"/>
    <w:pPr>
      <w:shd w:val="clear" w:color="auto" w:fill="C6D5EC"/>
    </w:pPr>
    <w:rPr>
      <w:rFonts w:ascii="Lucida Grande" w:hAnsi="Lucida Grande"/>
      <w:sz w:val="24"/>
    </w:rPr>
  </w:style>
  <w:style w:type="character" w:styleId="BesuchterLink">
    <w:name w:val="FollowedHyperlink"/>
    <w:rsid w:val="00D338BD"/>
    <w:rPr>
      <w:rFonts w:ascii="Helvetica Neue" w:hAnsi="Helvetica Neue"/>
      <w:color w:val="FF6600"/>
      <w:sz w:val="16"/>
      <w:u w:val="none"/>
    </w:rPr>
  </w:style>
  <w:style w:type="paragraph" w:customStyle="1" w:styleId="Zitat1">
    <w:name w:val="Zitat1"/>
    <w:basedOn w:val="Textkrper-Zeileneinzug"/>
    <w:rsid w:val="00237E24"/>
    <w:rPr>
      <w:rFonts w:ascii="Times New Roman" w:hAnsi="Times New Roman"/>
      <w:i/>
    </w:rPr>
  </w:style>
  <w:style w:type="paragraph" w:customStyle="1" w:styleId="Zitatauflistung">
    <w:name w:val="Zitatauflistung"/>
    <w:basedOn w:val="Auflistung1"/>
    <w:rsid w:val="00237E24"/>
    <w:pPr>
      <w:numPr>
        <w:numId w:val="0"/>
      </w:numPr>
    </w:pPr>
    <w:rPr>
      <w:rFonts w:ascii="Times New Roman" w:hAnsi="Times New Roman"/>
      <w:i/>
    </w:rPr>
  </w:style>
  <w:style w:type="paragraph" w:styleId="Sprechblasentext">
    <w:name w:val="Balloon Text"/>
    <w:basedOn w:val="Standard"/>
    <w:semiHidden/>
    <w:rsid w:val="00154117"/>
    <w:rPr>
      <w:rFonts w:ascii="Lucida Grande" w:hAnsi="Lucida Grande"/>
      <w:sz w:val="18"/>
      <w:szCs w:val="18"/>
    </w:rPr>
  </w:style>
  <w:style w:type="character" w:styleId="Kommentarzeichen">
    <w:name w:val="annotation reference"/>
    <w:semiHidden/>
    <w:rsid w:val="002F07BB"/>
    <w:rPr>
      <w:sz w:val="18"/>
    </w:rPr>
  </w:style>
  <w:style w:type="paragraph" w:styleId="Kommentartext">
    <w:name w:val="annotation text"/>
    <w:basedOn w:val="Standard"/>
    <w:semiHidden/>
    <w:rsid w:val="002F07BB"/>
    <w:rPr>
      <w:sz w:val="24"/>
    </w:rPr>
  </w:style>
  <w:style w:type="paragraph" w:styleId="Kommentarthema">
    <w:name w:val="annotation subject"/>
    <w:basedOn w:val="Kommentartext"/>
    <w:next w:val="Kommentartext"/>
    <w:semiHidden/>
    <w:rsid w:val="002F07BB"/>
    <w:rPr>
      <w:sz w:val="20"/>
    </w:rPr>
  </w:style>
  <w:style w:type="character" w:customStyle="1" w:styleId="apple-style-span">
    <w:name w:val="apple-style-span"/>
    <w:basedOn w:val="Absatz-Standardschriftart"/>
    <w:rsid w:val="0074711F"/>
  </w:style>
  <w:style w:type="character" w:customStyle="1" w:styleId="TextkrperZchn">
    <w:name w:val="Textkörper Zchn"/>
    <w:link w:val="Textkrper"/>
    <w:rsid w:val="00E50D61"/>
    <w:rPr>
      <w:rFonts w:ascii="Helvetica Neue" w:hAnsi="Helvetica Neue"/>
      <w:szCs w:val="24"/>
      <w:lang w:eastAsia="en-US"/>
    </w:rPr>
  </w:style>
  <w:style w:type="paragraph" w:styleId="Inhaltsverzeichnisberschrift">
    <w:name w:val="TOC Heading"/>
    <w:basedOn w:val="berschrift1"/>
    <w:next w:val="Standard"/>
    <w:uiPriority w:val="39"/>
    <w:unhideWhenUsed/>
    <w:qFormat/>
    <w:rsid w:val="006E7234"/>
    <w:pPr>
      <w:keepLines/>
      <w:numPr>
        <w:numId w:val="0"/>
      </w:numPr>
      <w:spacing w:before="480" w:after="0" w:line="276" w:lineRule="auto"/>
      <w:jc w:val="left"/>
      <w:outlineLvl w:val="9"/>
    </w:pPr>
    <w:rPr>
      <w:rFonts w:ascii="Calibri" w:hAnsi="Calibri"/>
      <w:b w:val="0"/>
      <w:bCs/>
      <w:color w:val="365F91"/>
      <w:kern w:val="0"/>
      <w:szCs w:val="28"/>
    </w:rPr>
  </w:style>
  <w:style w:type="character" w:customStyle="1" w:styleId="mitarbeiter">
    <w:name w:val="mitarbeiter"/>
    <w:basedOn w:val="Absatz-Standardschriftart"/>
    <w:rsid w:val="00856592"/>
  </w:style>
  <w:style w:type="character" w:customStyle="1" w:styleId="mitarbeiterfunktion">
    <w:name w:val="mitarbeiterfunktion"/>
    <w:basedOn w:val="Absatz-Standardschriftart"/>
    <w:rsid w:val="00856592"/>
  </w:style>
  <w:style w:type="character" w:customStyle="1" w:styleId="fliesstext">
    <w:name w:val="fliesstext"/>
    <w:basedOn w:val="Absatz-Standardschriftart"/>
    <w:rsid w:val="00856592"/>
  </w:style>
  <w:style w:type="character" w:styleId="Fett">
    <w:name w:val="Strong"/>
    <w:uiPriority w:val="22"/>
    <w:qFormat/>
    <w:rsid w:val="00856592"/>
    <w:rPr>
      <w:b/>
    </w:rPr>
  </w:style>
  <w:style w:type="paragraph" w:customStyle="1" w:styleId="a">
    <w:basedOn w:val="Standard"/>
    <w:next w:val="Textkrper-Zeileneinzug"/>
    <w:rsid w:val="00A02F4F"/>
    <w:pPr>
      <w:tabs>
        <w:tab w:val="left" w:pos="851"/>
      </w:tabs>
      <w:spacing w:after="120"/>
      <w:ind w:left="851"/>
    </w:pPr>
    <w:rPr>
      <w:color w:val="666666"/>
    </w:rPr>
  </w:style>
  <w:style w:type="character" w:customStyle="1" w:styleId="Textkrper-ZeileneinzugZchn">
    <w:name w:val="Textkörper-Zeileneinzug Zchn"/>
    <w:link w:val="Textkrper-Zeileneinzug"/>
    <w:rsid w:val="00C87383"/>
    <w:rPr>
      <w:rFonts w:ascii="Helvetica Neue" w:hAnsi="Helvetica Neue"/>
      <w:color w:val="666666"/>
      <w:szCs w:val="24"/>
      <w:lang w:eastAsia="en-US"/>
    </w:rPr>
  </w:style>
  <w:style w:type="paragraph" w:styleId="StandardWeb">
    <w:name w:val="Normal (Web)"/>
    <w:basedOn w:val="Standard"/>
    <w:uiPriority w:val="99"/>
    <w:semiHidden/>
    <w:unhideWhenUsed/>
    <w:rsid w:val="00846D92"/>
    <w:pPr>
      <w:spacing w:before="100" w:beforeAutospacing="1" w:after="100" w:afterAutospacing="1"/>
      <w:jc w:val="left"/>
    </w:pPr>
    <w:rPr>
      <w:rFonts w:ascii="Times" w:hAnsi="Times"/>
      <w:szCs w:val="20"/>
    </w:rPr>
  </w:style>
  <w:style w:type="character" w:styleId="Hervorhebung">
    <w:name w:val="Emphasis"/>
    <w:basedOn w:val="Absatz-Standardschriftart"/>
    <w:uiPriority w:val="20"/>
    <w:qFormat/>
    <w:rsid w:val="00EE549C"/>
    <w:rPr>
      <w:i/>
      <w:iCs/>
    </w:rPr>
  </w:style>
  <w:style w:type="paragraph" w:styleId="berarbeitung">
    <w:name w:val="Revision"/>
    <w:hidden/>
    <w:uiPriority w:val="99"/>
    <w:semiHidden/>
    <w:rsid w:val="00755B81"/>
    <w:rPr>
      <w:rFonts w:ascii="Helvetica Neue" w:hAnsi="Helvetica Neue"/>
      <w:szCs w:val="24"/>
      <w:lang w:eastAsia="en-US"/>
    </w:rPr>
  </w:style>
  <w:style w:type="paragraph" w:styleId="Listenabsatz">
    <w:name w:val="List Paragraph"/>
    <w:basedOn w:val="Standard"/>
    <w:uiPriority w:val="34"/>
    <w:qFormat/>
    <w:rsid w:val="00474C73"/>
    <w:pPr>
      <w:ind w:left="720"/>
      <w:contextualSpacing/>
    </w:pPr>
  </w:style>
  <w:style w:type="table" w:styleId="HelleSchattierung">
    <w:name w:val="Light Shading"/>
    <w:basedOn w:val="NormaleTabelle"/>
    <w:uiPriority w:val="60"/>
    <w:rsid w:val="00D767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A112C"/>
    <w:pPr>
      <w:widowControl w:val="0"/>
      <w:autoSpaceDE w:val="0"/>
      <w:autoSpaceDN w:val="0"/>
      <w:adjustRightInd w:val="0"/>
    </w:pPr>
    <w:rPr>
      <w:rFonts w:cs="Arial"/>
      <w:color w:val="000000"/>
      <w:sz w:val="24"/>
      <w:szCs w:val="24"/>
    </w:rPr>
  </w:style>
  <w:style w:type="table" w:styleId="HelleSchattierung-Akzent5">
    <w:name w:val="Light Shading Accent 5"/>
    <w:basedOn w:val="NormaleTabelle"/>
    <w:uiPriority w:val="60"/>
    <w:rsid w:val="0021218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
    <w:name w:val="Light List"/>
    <w:basedOn w:val="NormaleTabelle"/>
    <w:uiPriority w:val="61"/>
    <w:rsid w:val="0021218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enraster1">
    <w:name w:val="Tabellenraster1"/>
    <w:basedOn w:val="NormaleTabelle"/>
    <w:next w:val="Tabellenraster"/>
    <w:uiPriority w:val="59"/>
    <w:rsid w:val="00FF56D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D505A"/>
    <w:rPr>
      <w:color w:val="605E5C"/>
      <w:shd w:val="clear" w:color="auto" w:fill="E1DFDD"/>
    </w:rPr>
  </w:style>
  <w:style w:type="character" w:customStyle="1" w:styleId="xapple-tab-span">
    <w:name w:val="x_apple-tab-span"/>
    <w:basedOn w:val="Absatz-Standardschriftart"/>
    <w:rsid w:val="00DB0267"/>
  </w:style>
  <w:style w:type="character" w:customStyle="1" w:styleId="xapple-converted-space">
    <w:name w:val="x_apple-converted-space"/>
    <w:basedOn w:val="Absatz-Standardschriftart"/>
    <w:rsid w:val="00DB0267"/>
  </w:style>
  <w:style w:type="table" w:styleId="TabellemithellemGitternetz">
    <w:name w:val="Grid Table Light"/>
    <w:basedOn w:val="NormaleTabelle"/>
    <w:uiPriority w:val="40"/>
    <w:rsid w:val="00CF24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3Zchn">
    <w:name w:val="Überschrift 3 Zchn"/>
    <w:basedOn w:val="Absatz-Standardschriftart"/>
    <w:link w:val="berschrift3"/>
    <w:rsid w:val="00545420"/>
    <w:rPr>
      <w:szCs w:val="26"/>
    </w:rPr>
  </w:style>
  <w:style w:type="character" w:customStyle="1" w:styleId="NichtaufgelsteErwhnung2">
    <w:name w:val="Nicht aufgelöste Erwähnung2"/>
    <w:basedOn w:val="Absatz-Standardschriftart"/>
    <w:uiPriority w:val="99"/>
    <w:semiHidden/>
    <w:unhideWhenUsed/>
    <w:rsid w:val="00C7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186">
      <w:bodyDiv w:val="1"/>
      <w:marLeft w:val="0"/>
      <w:marRight w:val="0"/>
      <w:marTop w:val="0"/>
      <w:marBottom w:val="0"/>
      <w:divBdr>
        <w:top w:val="none" w:sz="0" w:space="0" w:color="auto"/>
        <w:left w:val="none" w:sz="0" w:space="0" w:color="auto"/>
        <w:bottom w:val="none" w:sz="0" w:space="0" w:color="auto"/>
        <w:right w:val="none" w:sz="0" w:space="0" w:color="auto"/>
      </w:divBdr>
    </w:div>
    <w:div w:id="57672785">
      <w:bodyDiv w:val="1"/>
      <w:marLeft w:val="0"/>
      <w:marRight w:val="0"/>
      <w:marTop w:val="0"/>
      <w:marBottom w:val="0"/>
      <w:divBdr>
        <w:top w:val="none" w:sz="0" w:space="0" w:color="auto"/>
        <w:left w:val="none" w:sz="0" w:space="0" w:color="auto"/>
        <w:bottom w:val="none" w:sz="0" w:space="0" w:color="auto"/>
        <w:right w:val="none" w:sz="0" w:space="0" w:color="auto"/>
      </w:divBdr>
    </w:div>
    <w:div w:id="95828891">
      <w:bodyDiv w:val="1"/>
      <w:marLeft w:val="0"/>
      <w:marRight w:val="0"/>
      <w:marTop w:val="0"/>
      <w:marBottom w:val="0"/>
      <w:divBdr>
        <w:top w:val="none" w:sz="0" w:space="0" w:color="auto"/>
        <w:left w:val="none" w:sz="0" w:space="0" w:color="auto"/>
        <w:bottom w:val="none" w:sz="0" w:space="0" w:color="auto"/>
        <w:right w:val="none" w:sz="0" w:space="0" w:color="auto"/>
      </w:divBdr>
    </w:div>
    <w:div w:id="99104018">
      <w:bodyDiv w:val="1"/>
      <w:marLeft w:val="0"/>
      <w:marRight w:val="0"/>
      <w:marTop w:val="0"/>
      <w:marBottom w:val="0"/>
      <w:divBdr>
        <w:top w:val="none" w:sz="0" w:space="0" w:color="auto"/>
        <w:left w:val="none" w:sz="0" w:space="0" w:color="auto"/>
        <w:bottom w:val="none" w:sz="0" w:space="0" w:color="auto"/>
        <w:right w:val="none" w:sz="0" w:space="0" w:color="auto"/>
      </w:divBdr>
    </w:div>
    <w:div w:id="254093587">
      <w:bodyDiv w:val="1"/>
      <w:marLeft w:val="0"/>
      <w:marRight w:val="0"/>
      <w:marTop w:val="0"/>
      <w:marBottom w:val="0"/>
      <w:divBdr>
        <w:top w:val="none" w:sz="0" w:space="0" w:color="auto"/>
        <w:left w:val="none" w:sz="0" w:space="0" w:color="auto"/>
        <w:bottom w:val="none" w:sz="0" w:space="0" w:color="auto"/>
        <w:right w:val="none" w:sz="0" w:space="0" w:color="auto"/>
      </w:divBdr>
    </w:div>
    <w:div w:id="307054288">
      <w:bodyDiv w:val="1"/>
      <w:marLeft w:val="0"/>
      <w:marRight w:val="0"/>
      <w:marTop w:val="0"/>
      <w:marBottom w:val="0"/>
      <w:divBdr>
        <w:top w:val="none" w:sz="0" w:space="0" w:color="auto"/>
        <w:left w:val="none" w:sz="0" w:space="0" w:color="auto"/>
        <w:bottom w:val="none" w:sz="0" w:space="0" w:color="auto"/>
        <w:right w:val="none" w:sz="0" w:space="0" w:color="auto"/>
      </w:divBdr>
    </w:div>
    <w:div w:id="366416415">
      <w:bodyDiv w:val="1"/>
      <w:marLeft w:val="0"/>
      <w:marRight w:val="0"/>
      <w:marTop w:val="0"/>
      <w:marBottom w:val="0"/>
      <w:divBdr>
        <w:top w:val="none" w:sz="0" w:space="0" w:color="auto"/>
        <w:left w:val="none" w:sz="0" w:space="0" w:color="auto"/>
        <w:bottom w:val="none" w:sz="0" w:space="0" w:color="auto"/>
        <w:right w:val="none" w:sz="0" w:space="0" w:color="auto"/>
      </w:divBdr>
    </w:div>
    <w:div w:id="395202671">
      <w:bodyDiv w:val="1"/>
      <w:marLeft w:val="0"/>
      <w:marRight w:val="0"/>
      <w:marTop w:val="0"/>
      <w:marBottom w:val="0"/>
      <w:divBdr>
        <w:top w:val="none" w:sz="0" w:space="0" w:color="auto"/>
        <w:left w:val="none" w:sz="0" w:space="0" w:color="auto"/>
        <w:bottom w:val="none" w:sz="0" w:space="0" w:color="auto"/>
        <w:right w:val="none" w:sz="0" w:space="0" w:color="auto"/>
      </w:divBdr>
    </w:div>
    <w:div w:id="413626484">
      <w:bodyDiv w:val="1"/>
      <w:marLeft w:val="0"/>
      <w:marRight w:val="0"/>
      <w:marTop w:val="0"/>
      <w:marBottom w:val="0"/>
      <w:divBdr>
        <w:top w:val="none" w:sz="0" w:space="0" w:color="auto"/>
        <w:left w:val="none" w:sz="0" w:space="0" w:color="auto"/>
        <w:bottom w:val="none" w:sz="0" w:space="0" w:color="auto"/>
        <w:right w:val="none" w:sz="0" w:space="0" w:color="auto"/>
      </w:divBdr>
    </w:div>
    <w:div w:id="623852807">
      <w:bodyDiv w:val="1"/>
      <w:marLeft w:val="0"/>
      <w:marRight w:val="0"/>
      <w:marTop w:val="0"/>
      <w:marBottom w:val="0"/>
      <w:divBdr>
        <w:top w:val="none" w:sz="0" w:space="0" w:color="auto"/>
        <w:left w:val="none" w:sz="0" w:space="0" w:color="auto"/>
        <w:bottom w:val="none" w:sz="0" w:space="0" w:color="auto"/>
        <w:right w:val="none" w:sz="0" w:space="0" w:color="auto"/>
      </w:divBdr>
    </w:div>
    <w:div w:id="711032668">
      <w:bodyDiv w:val="1"/>
      <w:marLeft w:val="0"/>
      <w:marRight w:val="0"/>
      <w:marTop w:val="0"/>
      <w:marBottom w:val="0"/>
      <w:divBdr>
        <w:top w:val="none" w:sz="0" w:space="0" w:color="auto"/>
        <w:left w:val="none" w:sz="0" w:space="0" w:color="auto"/>
        <w:bottom w:val="none" w:sz="0" w:space="0" w:color="auto"/>
        <w:right w:val="none" w:sz="0" w:space="0" w:color="auto"/>
      </w:divBdr>
    </w:div>
    <w:div w:id="725448281">
      <w:bodyDiv w:val="1"/>
      <w:marLeft w:val="0"/>
      <w:marRight w:val="0"/>
      <w:marTop w:val="0"/>
      <w:marBottom w:val="0"/>
      <w:divBdr>
        <w:top w:val="none" w:sz="0" w:space="0" w:color="auto"/>
        <w:left w:val="none" w:sz="0" w:space="0" w:color="auto"/>
        <w:bottom w:val="none" w:sz="0" w:space="0" w:color="auto"/>
        <w:right w:val="none" w:sz="0" w:space="0" w:color="auto"/>
      </w:divBdr>
    </w:div>
    <w:div w:id="825245969">
      <w:bodyDiv w:val="1"/>
      <w:marLeft w:val="0"/>
      <w:marRight w:val="0"/>
      <w:marTop w:val="0"/>
      <w:marBottom w:val="0"/>
      <w:divBdr>
        <w:top w:val="none" w:sz="0" w:space="0" w:color="auto"/>
        <w:left w:val="none" w:sz="0" w:space="0" w:color="auto"/>
        <w:bottom w:val="none" w:sz="0" w:space="0" w:color="auto"/>
        <w:right w:val="none" w:sz="0" w:space="0" w:color="auto"/>
      </w:divBdr>
    </w:div>
    <w:div w:id="895819041">
      <w:bodyDiv w:val="1"/>
      <w:marLeft w:val="0"/>
      <w:marRight w:val="0"/>
      <w:marTop w:val="0"/>
      <w:marBottom w:val="0"/>
      <w:divBdr>
        <w:top w:val="none" w:sz="0" w:space="0" w:color="auto"/>
        <w:left w:val="none" w:sz="0" w:space="0" w:color="auto"/>
        <w:bottom w:val="none" w:sz="0" w:space="0" w:color="auto"/>
        <w:right w:val="none" w:sz="0" w:space="0" w:color="auto"/>
      </w:divBdr>
    </w:div>
    <w:div w:id="897128722">
      <w:bodyDiv w:val="1"/>
      <w:marLeft w:val="0"/>
      <w:marRight w:val="0"/>
      <w:marTop w:val="0"/>
      <w:marBottom w:val="0"/>
      <w:divBdr>
        <w:top w:val="none" w:sz="0" w:space="0" w:color="auto"/>
        <w:left w:val="none" w:sz="0" w:space="0" w:color="auto"/>
        <w:bottom w:val="none" w:sz="0" w:space="0" w:color="auto"/>
        <w:right w:val="none" w:sz="0" w:space="0" w:color="auto"/>
      </w:divBdr>
    </w:div>
    <w:div w:id="907879356">
      <w:bodyDiv w:val="1"/>
      <w:marLeft w:val="0"/>
      <w:marRight w:val="0"/>
      <w:marTop w:val="0"/>
      <w:marBottom w:val="0"/>
      <w:divBdr>
        <w:top w:val="none" w:sz="0" w:space="0" w:color="auto"/>
        <w:left w:val="none" w:sz="0" w:space="0" w:color="auto"/>
        <w:bottom w:val="none" w:sz="0" w:space="0" w:color="auto"/>
        <w:right w:val="none" w:sz="0" w:space="0" w:color="auto"/>
      </w:divBdr>
    </w:div>
    <w:div w:id="911087533">
      <w:bodyDiv w:val="1"/>
      <w:marLeft w:val="0"/>
      <w:marRight w:val="0"/>
      <w:marTop w:val="0"/>
      <w:marBottom w:val="0"/>
      <w:divBdr>
        <w:top w:val="none" w:sz="0" w:space="0" w:color="auto"/>
        <w:left w:val="none" w:sz="0" w:space="0" w:color="auto"/>
        <w:bottom w:val="none" w:sz="0" w:space="0" w:color="auto"/>
        <w:right w:val="none" w:sz="0" w:space="0" w:color="auto"/>
      </w:divBdr>
    </w:div>
    <w:div w:id="943533195">
      <w:bodyDiv w:val="1"/>
      <w:marLeft w:val="0"/>
      <w:marRight w:val="0"/>
      <w:marTop w:val="0"/>
      <w:marBottom w:val="0"/>
      <w:divBdr>
        <w:top w:val="none" w:sz="0" w:space="0" w:color="auto"/>
        <w:left w:val="none" w:sz="0" w:space="0" w:color="auto"/>
        <w:bottom w:val="none" w:sz="0" w:space="0" w:color="auto"/>
        <w:right w:val="none" w:sz="0" w:space="0" w:color="auto"/>
      </w:divBdr>
    </w:div>
    <w:div w:id="1063528541">
      <w:bodyDiv w:val="1"/>
      <w:marLeft w:val="0"/>
      <w:marRight w:val="0"/>
      <w:marTop w:val="0"/>
      <w:marBottom w:val="0"/>
      <w:divBdr>
        <w:top w:val="none" w:sz="0" w:space="0" w:color="auto"/>
        <w:left w:val="none" w:sz="0" w:space="0" w:color="auto"/>
        <w:bottom w:val="none" w:sz="0" w:space="0" w:color="auto"/>
        <w:right w:val="none" w:sz="0" w:space="0" w:color="auto"/>
      </w:divBdr>
    </w:div>
    <w:div w:id="1197500381">
      <w:bodyDiv w:val="1"/>
      <w:marLeft w:val="0"/>
      <w:marRight w:val="0"/>
      <w:marTop w:val="0"/>
      <w:marBottom w:val="0"/>
      <w:divBdr>
        <w:top w:val="none" w:sz="0" w:space="0" w:color="auto"/>
        <w:left w:val="none" w:sz="0" w:space="0" w:color="auto"/>
        <w:bottom w:val="none" w:sz="0" w:space="0" w:color="auto"/>
        <w:right w:val="none" w:sz="0" w:space="0" w:color="auto"/>
      </w:divBdr>
    </w:div>
    <w:div w:id="1285843192">
      <w:bodyDiv w:val="1"/>
      <w:marLeft w:val="0"/>
      <w:marRight w:val="0"/>
      <w:marTop w:val="0"/>
      <w:marBottom w:val="0"/>
      <w:divBdr>
        <w:top w:val="none" w:sz="0" w:space="0" w:color="auto"/>
        <w:left w:val="none" w:sz="0" w:space="0" w:color="auto"/>
        <w:bottom w:val="none" w:sz="0" w:space="0" w:color="auto"/>
        <w:right w:val="none" w:sz="0" w:space="0" w:color="auto"/>
      </w:divBdr>
      <w:divsChild>
        <w:div w:id="1302341830">
          <w:marLeft w:val="0"/>
          <w:marRight w:val="0"/>
          <w:marTop w:val="0"/>
          <w:marBottom w:val="0"/>
          <w:divBdr>
            <w:top w:val="none" w:sz="0" w:space="0" w:color="auto"/>
            <w:left w:val="none" w:sz="0" w:space="0" w:color="auto"/>
            <w:bottom w:val="none" w:sz="0" w:space="0" w:color="auto"/>
            <w:right w:val="none" w:sz="0" w:space="0" w:color="auto"/>
          </w:divBdr>
        </w:div>
      </w:divsChild>
    </w:div>
    <w:div w:id="1326056375">
      <w:bodyDiv w:val="1"/>
      <w:marLeft w:val="0"/>
      <w:marRight w:val="0"/>
      <w:marTop w:val="0"/>
      <w:marBottom w:val="0"/>
      <w:divBdr>
        <w:top w:val="none" w:sz="0" w:space="0" w:color="auto"/>
        <w:left w:val="none" w:sz="0" w:space="0" w:color="auto"/>
        <w:bottom w:val="none" w:sz="0" w:space="0" w:color="auto"/>
        <w:right w:val="none" w:sz="0" w:space="0" w:color="auto"/>
      </w:divBdr>
    </w:div>
    <w:div w:id="1572424160">
      <w:bodyDiv w:val="1"/>
      <w:marLeft w:val="0"/>
      <w:marRight w:val="0"/>
      <w:marTop w:val="0"/>
      <w:marBottom w:val="0"/>
      <w:divBdr>
        <w:top w:val="none" w:sz="0" w:space="0" w:color="auto"/>
        <w:left w:val="none" w:sz="0" w:space="0" w:color="auto"/>
        <w:bottom w:val="none" w:sz="0" w:space="0" w:color="auto"/>
        <w:right w:val="none" w:sz="0" w:space="0" w:color="auto"/>
      </w:divBdr>
    </w:div>
    <w:div w:id="1594823641">
      <w:bodyDiv w:val="1"/>
      <w:marLeft w:val="0"/>
      <w:marRight w:val="0"/>
      <w:marTop w:val="0"/>
      <w:marBottom w:val="0"/>
      <w:divBdr>
        <w:top w:val="none" w:sz="0" w:space="0" w:color="auto"/>
        <w:left w:val="none" w:sz="0" w:space="0" w:color="auto"/>
        <w:bottom w:val="none" w:sz="0" w:space="0" w:color="auto"/>
        <w:right w:val="none" w:sz="0" w:space="0" w:color="auto"/>
      </w:divBdr>
      <w:divsChild>
        <w:div w:id="868839117">
          <w:marLeft w:val="446"/>
          <w:marRight w:val="0"/>
          <w:marTop w:val="0"/>
          <w:marBottom w:val="0"/>
          <w:divBdr>
            <w:top w:val="none" w:sz="0" w:space="0" w:color="auto"/>
            <w:left w:val="none" w:sz="0" w:space="0" w:color="auto"/>
            <w:bottom w:val="none" w:sz="0" w:space="0" w:color="auto"/>
            <w:right w:val="none" w:sz="0" w:space="0" w:color="auto"/>
          </w:divBdr>
        </w:div>
      </w:divsChild>
    </w:div>
    <w:div w:id="1630821034">
      <w:bodyDiv w:val="1"/>
      <w:marLeft w:val="0"/>
      <w:marRight w:val="0"/>
      <w:marTop w:val="0"/>
      <w:marBottom w:val="0"/>
      <w:divBdr>
        <w:top w:val="none" w:sz="0" w:space="0" w:color="auto"/>
        <w:left w:val="none" w:sz="0" w:space="0" w:color="auto"/>
        <w:bottom w:val="none" w:sz="0" w:space="0" w:color="auto"/>
        <w:right w:val="none" w:sz="0" w:space="0" w:color="auto"/>
      </w:divBdr>
    </w:div>
    <w:div w:id="1646010245">
      <w:bodyDiv w:val="1"/>
      <w:marLeft w:val="0"/>
      <w:marRight w:val="0"/>
      <w:marTop w:val="0"/>
      <w:marBottom w:val="0"/>
      <w:divBdr>
        <w:top w:val="none" w:sz="0" w:space="0" w:color="auto"/>
        <w:left w:val="none" w:sz="0" w:space="0" w:color="auto"/>
        <w:bottom w:val="none" w:sz="0" w:space="0" w:color="auto"/>
        <w:right w:val="none" w:sz="0" w:space="0" w:color="auto"/>
      </w:divBdr>
    </w:div>
    <w:div w:id="1655259879">
      <w:bodyDiv w:val="1"/>
      <w:marLeft w:val="0"/>
      <w:marRight w:val="0"/>
      <w:marTop w:val="0"/>
      <w:marBottom w:val="0"/>
      <w:divBdr>
        <w:top w:val="none" w:sz="0" w:space="0" w:color="auto"/>
        <w:left w:val="none" w:sz="0" w:space="0" w:color="auto"/>
        <w:bottom w:val="none" w:sz="0" w:space="0" w:color="auto"/>
        <w:right w:val="none" w:sz="0" w:space="0" w:color="auto"/>
      </w:divBdr>
    </w:div>
    <w:div w:id="1723629019">
      <w:bodyDiv w:val="1"/>
      <w:marLeft w:val="0"/>
      <w:marRight w:val="0"/>
      <w:marTop w:val="0"/>
      <w:marBottom w:val="0"/>
      <w:divBdr>
        <w:top w:val="none" w:sz="0" w:space="0" w:color="auto"/>
        <w:left w:val="none" w:sz="0" w:space="0" w:color="auto"/>
        <w:bottom w:val="none" w:sz="0" w:space="0" w:color="auto"/>
        <w:right w:val="none" w:sz="0" w:space="0" w:color="auto"/>
      </w:divBdr>
    </w:div>
    <w:div w:id="1754668710">
      <w:bodyDiv w:val="1"/>
      <w:marLeft w:val="0"/>
      <w:marRight w:val="0"/>
      <w:marTop w:val="0"/>
      <w:marBottom w:val="0"/>
      <w:divBdr>
        <w:top w:val="none" w:sz="0" w:space="0" w:color="auto"/>
        <w:left w:val="none" w:sz="0" w:space="0" w:color="auto"/>
        <w:bottom w:val="none" w:sz="0" w:space="0" w:color="auto"/>
        <w:right w:val="none" w:sz="0" w:space="0" w:color="auto"/>
      </w:divBdr>
    </w:div>
    <w:div w:id="1771579118">
      <w:bodyDiv w:val="1"/>
      <w:marLeft w:val="0"/>
      <w:marRight w:val="0"/>
      <w:marTop w:val="0"/>
      <w:marBottom w:val="0"/>
      <w:divBdr>
        <w:top w:val="none" w:sz="0" w:space="0" w:color="auto"/>
        <w:left w:val="none" w:sz="0" w:space="0" w:color="auto"/>
        <w:bottom w:val="none" w:sz="0" w:space="0" w:color="auto"/>
        <w:right w:val="none" w:sz="0" w:space="0" w:color="auto"/>
      </w:divBdr>
    </w:div>
    <w:div w:id="1781753146">
      <w:bodyDiv w:val="1"/>
      <w:marLeft w:val="0"/>
      <w:marRight w:val="0"/>
      <w:marTop w:val="0"/>
      <w:marBottom w:val="0"/>
      <w:divBdr>
        <w:top w:val="none" w:sz="0" w:space="0" w:color="auto"/>
        <w:left w:val="none" w:sz="0" w:space="0" w:color="auto"/>
        <w:bottom w:val="none" w:sz="0" w:space="0" w:color="auto"/>
        <w:right w:val="none" w:sz="0" w:space="0" w:color="auto"/>
      </w:divBdr>
    </w:div>
    <w:div w:id="1782647638">
      <w:bodyDiv w:val="1"/>
      <w:marLeft w:val="0"/>
      <w:marRight w:val="0"/>
      <w:marTop w:val="0"/>
      <w:marBottom w:val="0"/>
      <w:divBdr>
        <w:top w:val="none" w:sz="0" w:space="0" w:color="auto"/>
        <w:left w:val="none" w:sz="0" w:space="0" w:color="auto"/>
        <w:bottom w:val="none" w:sz="0" w:space="0" w:color="auto"/>
        <w:right w:val="none" w:sz="0" w:space="0" w:color="auto"/>
      </w:divBdr>
    </w:div>
    <w:div w:id="1964579430">
      <w:bodyDiv w:val="1"/>
      <w:marLeft w:val="0"/>
      <w:marRight w:val="0"/>
      <w:marTop w:val="0"/>
      <w:marBottom w:val="0"/>
      <w:divBdr>
        <w:top w:val="none" w:sz="0" w:space="0" w:color="auto"/>
        <w:left w:val="none" w:sz="0" w:space="0" w:color="auto"/>
        <w:bottom w:val="none" w:sz="0" w:space="0" w:color="auto"/>
        <w:right w:val="none" w:sz="0" w:space="0" w:color="auto"/>
      </w:divBdr>
      <w:divsChild>
        <w:div w:id="161243443">
          <w:marLeft w:val="0"/>
          <w:marRight w:val="0"/>
          <w:marTop w:val="0"/>
          <w:marBottom w:val="0"/>
          <w:divBdr>
            <w:top w:val="none" w:sz="0" w:space="0" w:color="auto"/>
            <w:left w:val="none" w:sz="0" w:space="0" w:color="auto"/>
            <w:bottom w:val="none" w:sz="0" w:space="0" w:color="auto"/>
            <w:right w:val="none" w:sz="0" w:space="0" w:color="auto"/>
          </w:divBdr>
        </w:div>
      </w:divsChild>
    </w:div>
    <w:div w:id="2035423766">
      <w:bodyDiv w:val="1"/>
      <w:marLeft w:val="0"/>
      <w:marRight w:val="0"/>
      <w:marTop w:val="0"/>
      <w:marBottom w:val="0"/>
      <w:divBdr>
        <w:top w:val="none" w:sz="0" w:space="0" w:color="auto"/>
        <w:left w:val="none" w:sz="0" w:space="0" w:color="auto"/>
        <w:bottom w:val="none" w:sz="0" w:space="0" w:color="auto"/>
        <w:right w:val="none" w:sz="0" w:space="0" w:color="auto"/>
      </w:divBdr>
    </w:div>
    <w:div w:id="2102484426">
      <w:bodyDiv w:val="1"/>
      <w:marLeft w:val="0"/>
      <w:marRight w:val="0"/>
      <w:marTop w:val="0"/>
      <w:marBottom w:val="0"/>
      <w:divBdr>
        <w:top w:val="none" w:sz="0" w:space="0" w:color="auto"/>
        <w:left w:val="none" w:sz="0" w:space="0" w:color="auto"/>
        <w:bottom w:val="none" w:sz="0" w:space="0" w:color="auto"/>
        <w:right w:val="none" w:sz="0" w:space="0" w:color="auto"/>
      </w:divBdr>
      <w:divsChild>
        <w:div w:id="607934550">
          <w:marLeft w:val="44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fu.de/t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in/danavoge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collections/government-conversion-factors-for-company-reporting" TargetMode="External"/><Relationship Id="rId25" Type="http://schemas.openxmlformats.org/officeDocument/2006/relationships/hyperlink" Target="http://www.kde-kurier.de" TargetMode="External"/><Relationship Id="rId2" Type="http://schemas.openxmlformats.org/officeDocument/2006/relationships/customXml" Target="../customXml/item2.xml"/><Relationship Id="rId16" Type="http://schemas.openxmlformats.org/officeDocument/2006/relationships/hyperlink" Target="https://www.luftlinie.org/" TargetMode="External"/><Relationship Id="rId20" Type="http://schemas.openxmlformats.org/officeDocument/2006/relationships/hyperlink" Target="http://www.danavog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barbara.vonalvensleben@kde-kurier.de"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kde-er-dc01\Daten\15-%20Qualit&#228;tsmanagement\06_Fair&amp;Green\Zertifizierung%202023\KDE%20Klimabilanz%20fu&#776;r%202022_dv_23050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de-DE" sz="1600"/>
              <a:t>Emissionen</a:t>
            </a:r>
            <a:r>
              <a:rPr lang="de-DE" sz="1600" baseline="0"/>
              <a:t> nach Scopes </a:t>
            </a:r>
            <a:endParaRPr lang="de-DE" sz="1600"/>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95C11F"/>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4A-483D-9887-D81F9507CDC0}"/>
              </c:ext>
            </c:extLst>
          </c:dPt>
          <c:dPt>
            <c:idx val="1"/>
            <c:bubble3D val="0"/>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4A-483D-9887-D81F9507CDC0}"/>
              </c:ext>
            </c:extLst>
          </c:dPt>
          <c:dPt>
            <c:idx val="2"/>
            <c:bubble3D val="0"/>
            <c:spPr>
              <a:solidFill>
                <a:srgbClr val="005864">
                  <a:alpha val="71000"/>
                </a:srgb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D4A-483D-9887-D81F9507CDC0}"/>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de-DE"/>
                </a:p>
              </c:txPr>
              <c:showLegendKey val="0"/>
              <c:showVal val="0"/>
              <c:showCatName val="0"/>
              <c:showSerName val="0"/>
              <c:showPercent val="1"/>
              <c:showBubbleSize val="0"/>
              <c:extLst>
                <c:ext xmlns:c16="http://schemas.microsoft.com/office/drawing/2014/chart" uri="{C3380CC4-5D6E-409C-BE32-E72D297353CC}">
                  <c16:uniqueId val="{00000001-DD4A-483D-9887-D81F9507CDC0}"/>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val>
            <c:numRef>
              <c:f>'[KDE Klimabilanz für 2022_dv_230509.xlsx]Dashboard '!$D$13,'[KDE Klimabilanz für 2022_dv_230509.xlsx]Dashboard '!$D$18,'[KDE Klimabilanz für 2022_dv_230509.xlsx]Dashboard '!$D$28</c:f>
              <c:numCache>
                <c:formatCode>#,##0.00_ ;[Red]\-#,##0.00\ </c:formatCode>
                <c:ptCount val="3"/>
                <c:pt idx="0">
                  <c:v>299535.2193</c:v>
                </c:pt>
                <c:pt idx="1">
                  <c:v>0</c:v>
                </c:pt>
                <c:pt idx="2">
                  <c:v>960235.33770296106</c:v>
                </c:pt>
              </c:numCache>
            </c:numRef>
          </c:val>
          <c:extLst>
            <c:ext xmlns:c16="http://schemas.microsoft.com/office/drawing/2014/chart" uri="{C3380CC4-5D6E-409C-BE32-E72D297353CC}">
              <c16:uniqueId val="{00000006-DD4A-483D-9887-D81F9507CDC0}"/>
            </c:ext>
          </c:extLst>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4E5A35A2606C4EAD59D1E653B128F3" ma:contentTypeVersion="0" ma:contentTypeDescription="Ein neues Dokument erstellen." ma:contentTypeScope="" ma:versionID="a8915da1ff0b5cee6d64919f4b8bcc8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DD64-CCC7-45CF-9E8E-D4C6D49A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39038-D2D8-48B7-B067-C7778BA906AC}">
  <ds:schemaRefs>
    <ds:schemaRef ds:uri="http://schemas.microsoft.com/sharepoint/v3/contenttype/forms"/>
  </ds:schemaRefs>
</ds:datastoreItem>
</file>

<file path=customXml/itemProps3.xml><?xml version="1.0" encoding="utf-8"?>
<ds:datastoreItem xmlns:ds="http://schemas.openxmlformats.org/officeDocument/2006/customXml" ds:itemID="{B32AFC27-C9CA-40BB-AAC0-BA1953520DF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AF63CDF9-B7F0-47C9-8D0D-61108FA3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3038</Words>
  <Characters>21698</Characters>
  <Application>Microsoft Office Word</Application>
  <DocSecurity>0</DocSecurity>
  <Lines>180</Lines>
  <Paragraphs>49</Paragraphs>
  <ScaleCrop>false</ScaleCrop>
  <HeadingPairs>
    <vt:vector size="4" baseType="variant">
      <vt:variant>
        <vt:lpstr>Titel</vt:lpstr>
      </vt:variant>
      <vt:variant>
        <vt:i4>1</vt:i4>
      </vt:variant>
      <vt:variant>
        <vt:lpstr>Headings</vt:lpstr>
      </vt:variant>
      <vt:variant>
        <vt:i4>22</vt:i4>
      </vt:variant>
    </vt:vector>
  </HeadingPairs>
  <TitlesOfParts>
    <vt:vector size="23" baseType="lpstr">
      <vt:lpstr/>
      <vt:lpstr>Angebot A080</vt:lpstr>
      <vt:lpstr/>
      <vt:lpstr>an </vt:lpstr>
      <vt:lpstr>Sennheiser electronic GmbH &amp; Co. KG</vt:lpstr>
      <vt:lpstr>Am Labor 1</vt:lpstr>
      <vt:lpstr>30900 Wedemark</vt:lpstr>
      <vt:lpstr>über</vt:lpstr>
      <vt:lpstr/>
      <vt:lpstr>Carbon Footprint Erhebungen </vt:lpstr>
      <vt:lpstr/>
      <vt:lpstr>23. März 2012</vt:lpstr>
      <vt:lpstr>Hintergrund</vt:lpstr>
      <vt:lpstr>Ziele und Rahmen</vt:lpstr>
      <vt:lpstr>Leistungen</vt:lpstr>
      <vt:lpstr>    Erhebung und Auswertung der klimarelevanten Daten</vt:lpstr>
      <vt:lpstr>    Corporate Carbon Footprint Berechnung</vt:lpstr>
      <vt:lpstr>Termine und Dauer</vt:lpstr>
      <vt:lpstr>Honorar</vt:lpstr>
      <vt:lpstr>    Kalkulationsgrundlage</vt:lpstr>
      <vt:lpstr>    Aufwandsabschätzung</vt:lpstr>
      <vt:lpstr>    Kosten</vt:lpstr>
      <vt:lpstr>    Zahlungsbedingungen </vt:lpstr>
    </vt:vector>
  </TitlesOfParts>
  <Company>sustainable ag</Company>
  <LinksUpToDate>false</LinksUpToDate>
  <CharactersWithSpaces>24687</CharactersWithSpaces>
  <SharedDoc>false</SharedDoc>
  <HLinks>
    <vt:vector size="18" baseType="variant">
      <vt:variant>
        <vt:i4>6619144</vt:i4>
      </vt:variant>
      <vt:variant>
        <vt:i4>22801</vt:i4>
      </vt:variant>
      <vt:variant>
        <vt:i4>1025</vt:i4>
      </vt:variant>
      <vt:variant>
        <vt:i4>1</vt:i4>
      </vt:variant>
      <vt:variant>
        <vt:lpwstr>sustainable</vt:lpwstr>
      </vt:variant>
      <vt:variant>
        <vt:lpwstr/>
      </vt:variant>
      <vt:variant>
        <vt:i4>524366</vt:i4>
      </vt:variant>
      <vt:variant>
        <vt:i4>-1</vt:i4>
      </vt:variant>
      <vt:variant>
        <vt:i4>2050</vt:i4>
      </vt:variant>
      <vt:variant>
        <vt:i4>1</vt:i4>
      </vt:variant>
      <vt:variant>
        <vt:lpwstr>Logo sustainable</vt:lpwstr>
      </vt:variant>
      <vt:variant>
        <vt:lpwstr/>
      </vt:variant>
      <vt:variant>
        <vt:i4>524366</vt:i4>
      </vt:variant>
      <vt:variant>
        <vt:i4>-1</vt:i4>
      </vt:variant>
      <vt:variant>
        <vt:i4>2054</vt:i4>
      </vt:variant>
      <vt:variant>
        <vt:i4>1</vt:i4>
      </vt:variant>
      <vt:variant>
        <vt:lpwstr>Logo sustainable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Vogel</dc:creator>
  <cp:lastModifiedBy>Barbara von Alvensleben</cp:lastModifiedBy>
  <cp:revision>10</cp:revision>
  <cp:lastPrinted>2023-05-24T06:58:00Z</cp:lastPrinted>
  <dcterms:created xsi:type="dcterms:W3CDTF">2023-05-17T10:28:00Z</dcterms:created>
  <dcterms:modified xsi:type="dcterms:W3CDTF">2023-05-24T06:58:00Z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0x010100B04E5A35A2606C4EAD59D1E653B128F3</vt:lpwstr>
  </property>
</Properties>
</file>